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19"/>
      </w:tblGrid>
      <w:tr w:rsidR="005C4522" w:rsidRPr="009F7CED" w14:paraId="594DB416" w14:textId="77777777" w:rsidTr="00EE2F54">
        <w:trPr>
          <w:trHeight w:val="97"/>
        </w:trPr>
        <w:tc>
          <w:tcPr>
            <w:tcW w:w="3434" w:type="dxa"/>
            <w:tcBorders>
              <w:top w:val="single" w:sz="4" w:space="0" w:color="auto"/>
              <w:bottom w:val="single" w:sz="4" w:space="0" w:color="auto"/>
              <w:right w:val="single" w:sz="4" w:space="0" w:color="auto"/>
            </w:tcBorders>
            <w:shd w:val="clear" w:color="auto" w:fill="993300"/>
            <w:vAlign w:val="center"/>
          </w:tcPr>
          <w:p w14:paraId="04E3C39E" w14:textId="77777777" w:rsidR="0026513E" w:rsidRPr="00D965B1" w:rsidRDefault="00795C6B" w:rsidP="002264B8">
            <w:pPr>
              <w:pStyle w:val="Ttulo2"/>
              <w:ind w:right="72"/>
              <w:jc w:val="left"/>
              <w:rPr>
                <w:rFonts w:cs="Arial"/>
                <w:bCs/>
                <w:color w:val="FFFFFF"/>
                <w:sz w:val="22"/>
                <w:szCs w:val="22"/>
              </w:rPr>
            </w:pPr>
            <w:r w:rsidRPr="00D965B1">
              <w:rPr>
                <w:rFonts w:cs="Arial"/>
                <w:color w:val="FFFFFF"/>
                <w:sz w:val="22"/>
                <w:szCs w:val="22"/>
                <w:lang w:val="es-CO"/>
              </w:rPr>
              <w:t>Entidad</w:t>
            </w:r>
            <w:r w:rsidR="00086B16" w:rsidRPr="00D965B1">
              <w:rPr>
                <w:rFonts w:cs="Arial"/>
                <w:color w:val="FFFFFF"/>
                <w:sz w:val="22"/>
                <w:szCs w:val="22"/>
                <w:lang w:val="es-CO"/>
              </w:rPr>
              <w:t xml:space="preserve"> </w:t>
            </w:r>
            <w:r w:rsidRPr="00D965B1">
              <w:rPr>
                <w:rFonts w:cs="Arial"/>
                <w:color w:val="FFFFFF"/>
                <w:sz w:val="22"/>
                <w:szCs w:val="22"/>
                <w:lang w:val="es-CO"/>
              </w:rPr>
              <w:t>originadora</w:t>
            </w:r>
            <w:r w:rsidR="00293F29" w:rsidRPr="00D965B1">
              <w:rPr>
                <w:rFonts w:cs="Arial"/>
                <w:color w:val="FFFFFF"/>
                <w:sz w:val="22"/>
                <w:szCs w:val="22"/>
                <w:lang w:val="es-CO"/>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30D43DA5" w14:textId="17CAB6E2" w:rsidR="0026513E" w:rsidRPr="001A3DCB" w:rsidRDefault="001A3DCB" w:rsidP="00795C6B">
            <w:pPr>
              <w:pStyle w:val="Ttulo2"/>
              <w:ind w:left="72" w:right="72"/>
              <w:jc w:val="left"/>
              <w:rPr>
                <w:rFonts w:cs="Arial"/>
                <w:b w:val="0"/>
                <w:i/>
                <w:color w:val="000000" w:themeColor="text1"/>
                <w:sz w:val="22"/>
                <w:szCs w:val="22"/>
              </w:rPr>
            </w:pPr>
            <w:r w:rsidRPr="001A3DCB">
              <w:rPr>
                <w:rFonts w:cs="Arial"/>
                <w:b w:val="0"/>
                <w:i/>
                <w:color w:val="000000" w:themeColor="text1"/>
                <w:sz w:val="22"/>
                <w:szCs w:val="22"/>
              </w:rPr>
              <w:t>Ministerio del Trabajo</w:t>
            </w:r>
          </w:p>
        </w:tc>
      </w:tr>
      <w:tr w:rsidR="005C4522" w:rsidRPr="009F7CED" w14:paraId="4A71D3FC" w14:textId="77777777" w:rsidTr="00EE2F54">
        <w:trPr>
          <w:trHeight w:val="97"/>
        </w:trPr>
        <w:tc>
          <w:tcPr>
            <w:tcW w:w="3434" w:type="dxa"/>
            <w:tcBorders>
              <w:top w:val="single" w:sz="4" w:space="0" w:color="auto"/>
              <w:bottom w:val="single" w:sz="4" w:space="0" w:color="auto"/>
              <w:right w:val="single" w:sz="4" w:space="0" w:color="auto"/>
            </w:tcBorders>
            <w:shd w:val="clear" w:color="auto" w:fill="993300"/>
            <w:vAlign w:val="center"/>
          </w:tcPr>
          <w:p w14:paraId="1502A555" w14:textId="77777777" w:rsidR="00C47F73" w:rsidRPr="00D965B1" w:rsidRDefault="0026513E" w:rsidP="002264B8">
            <w:pPr>
              <w:pStyle w:val="Ttulo2"/>
              <w:ind w:right="72"/>
              <w:jc w:val="left"/>
              <w:rPr>
                <w:rFonts w:cs="Arial"/>
                <w:bCs/>
                <w:color w:val="FFFFFF"/>
                <w:sz w:val="22"/>
                <w:szCs w:val="22"/>
              </w:rPr>
            </w:pPr>
            <w:r w:rsidRPr="00D965B1">
              <w:rPr>
                <w:rFonts w:cs="Arial"/>
                <w:bCs/>
                <w:color w:val="FFFFFF"/>
                <w:sz w:val="22"/>
                <w:szCs w:val="22"/>
              </w:rPr>
              <w:t>Fecha</w:t>
            </w:r>
            <w:r w:rsidR="00BB545F" w:rsidRPr="00D965B1">
              <w:rPr>
                <w:rFonts w:cs="Arial"/>
                <w:bCs/>
                <w:color w:val="FFFFFF"/>
                <w:sz w:val="22"/>
                <w:szCs w:val="22"/>
              </w:rPr>
              <w:t xml:space="preserve"> (</w:t>
            </w:r>
            <w:proofErr w:type="spellStart"/>
            <w:r w:rsidR="00BB545F" w:rsidRPr="00D965B1">
              <w:rPr>
                <w:rFonts w:cs="Arial"/>
                <w:bCs/>
                <w:color w:val="FFFFFF"/>
                <w:sz w:val="22"/>
                <w:szCs w:val="22"/>
              </w:rPr>
              <w:t>dd</w:t>
            </w:r>
            <w:proofErr w:type="spellEnd"/>
            <w:r w:rsidR="00BB545F" w:rsidRPr="00D965B1">
              <w:rPr>
                <w:rFonts w:cs="Arial"/>
                <w:bCs/>
                <w:color w:val="FFFFFF"/>
                <w:sz w:val="22"/>
                <w:szCs w:val="22"/>
              </w:rPr>
              <w:t>/mm/</w:t>
            </w:r>
            <w:proofErr w:type="spellStart"/>
            <w:r w:rsidR="00BB545F" w:rsidRPr="00D965B1">
              <w:rPr>
                <w:rFonts w:cs="Arial"/>
                <w:bCs/>
                <w:color w:val="FFFFFF"/>
                <w:sz w:val="22"/>
                <w:szCs w:val="22"/>
              </w:rPr>
              <w:t>aa</w:t>
            </w:r>
            <w:proofErr w:type="spellEnd"/>
            <w:r w:rsidR="00BB545F" w:rsidRPr="00D965B1">
              <w:rPr>
                <w:rFonts w:cs="Arial"/>
                <w:bCs/>
                <w:color w:val="FFFFFF"/>
                <w:sz w:val="22"/>
                <w:szCs w:val="22"/>
              </w:rPr>
              <w:t>)</w:t>
            </w:r>
            <w:r w:rsidR="00293F29" w:rsidRPr="00D965B1">
              <w:rPr>
                <w:rFonts w:cs="Arial"/>
                <w:bCs/>
                <w:color w:val="FFFFFF"/>
                <w:sz w:val="22"/>
                <w:szCs w:val="22"/>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218D7297" w14:textId="43F741D0" w:rsidR="00C47F73" w:rsidRPr="001A3DCB" w:rsidRDefault="001A3DCB" w:rsidP="001A3DCB">
            <w:pPr>
              <w:pStyle w:val="Ttulo2"/>
              <w:ind w:right="72"/>
              <w:jc w:val="left"/>
              <w:rPr>
                <w:rFonts w:cs="Arial"/>
                <w:b w:val="0"/>
                <w:color w:val="000000" w:themeColor="text1"/>
                <w:sz w:val="22"/>
                <w:szCs w:val="22"/>
              </w:rPr>
            </w:pPr>
            <w:r w:rsidRPr="001A3DCB">
              <w:rPr>
                <w:rFonts w:cs="Arial"/>
                <w:b w:val="0"/>
                <w:i/>
                <w:color w:val="000000" w:themeColor="text1"/>
                <w:sz w:val="22"/>
                <w:szCs w:val="22"/>
              </w:rPr>
              <w:t>N/A</w:t>
            </w:r>
          </w:p>
        </w:tc>
      </w:tr>
      <w:tr w:rsidR="005C4522" w:rsidRPr="009F7CED" w14:paraId="3C4DE5DC" w14:textId="77777777" w:rsidTr="00EE2F54">
        <w:trPr>
          <w:trHeight w:val="97"/>
        </w:trPr>
        <w:tc>
          <w:tcPr>
            <w:tcW w:w="3434" w:type="dxa"/>
            <w:tcBorders>
              <w:top w:val="single" w:sz="4" w:space="0" w:color="auto"/>
              <w:bottom w:val="single" w:sz="4" w:space="0" w:color="auto"/>
              <w:right w:val="single" w:sz="4" w:space="0" w:color="auto"/>
            </w:tcBorders>
            <w:shd w:val="clear" w:color="auto" w:fill="993300"/>
            <w:vAlign w:val="center"/>
          </w:tcPr>
          <w:p w14:paraId="0BDE4F2E" w14:textId="77777777" w:rsidR="0059316B" w:rsidRPr="00D965B1" w:rsidRDefault="00A55DB6" w:rsidP="002264B8">
            <w:pPr>
              <w:pStyle w:val="Ttulo2"/>
              <w:ind w:right="72"/>
              <w:jc w:val="left"/>
              <w:rPr>
                <w:rFonts w:cs="Arial"/>
                <w:bCs/>
                <w:color w:val="FFFFFF"/>
                <w:sz w:val="22"/>
                <w:szCs w:val="22"/>
              </w:rPr>
            </w:pPr>
            <w:r w:rsidRPr="00D965B1">
              <w:rPr>
                <w:rFonts w:cs="Arial"/>
                <w:bCs/>
                <w:color w:val="FFFFFF"/>
                <w:sz w:val="22"/>
                <w:szCs w:val="22"/>
              </w:rPr>
              <w:t xml:space="preserve">Proyecto de </w:t>
            </w:r>
            <w:r w:rsidR="00587695" w:rsidRPr="00D965B1">
              <w:rPr>
                <w:rFonts w:cs="Arial"/>
                <w:bCs/>
                <w:color w:val="FFFFFF"/>
                <w:sz w:val="22"/>
                <w:szCs w:val="22"/>
              </w:rPr>
              <w:t>D</w:t>
            </w:r>
            <w:r w:rsidRPr="00D965B1">
              <w:rPr>
                <w:rFonts w:cs="Arial"/>
                <w:bCs/>
                <w:color w:val="FFFFFF"/>
                <w:sz w:val="22"/>
                <w:szCs w:val="22"/>
              </w:rPr>
              <w:t>ecreto</w:t>
            </w:r>
            <w:r w:rsidR="00795C6B" w:rsidRPr="00D965B1">
              <w:rPr>
                <w:rFonts w:cs="Arial"/>
                <w:bCs/>
                <w:color w:val="FFFFFF"/>
                <w:sz w:val="22"/>
                <w:szCs w:val="22"/>
              </w:rPr>
              <w:t>/Resolución</w:t>
            </w:r>
            <w:r w:rsidR="00293F29" w:rsidRPr="00D965B1">
              <w:rPr>
                <w:rFonts w:cs="Arial"/>
                <w:bCs/>
                <w:color w:val="FFFFFF"/>
                <w:sz w:val="22"/>
                <w:szCs w:val="22"/>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6A904903" w14:textId="215F3F96" w:rsidR="001F238A" w:rsidRPr="001A3DCB" w:rsidRDefault="001A3DCB" w:rsidP="001A3DCB">
            <w:pPr>
              <w:pStyle w:val="Ttulo2"/>
              <w:ind w:right="72"/>
              <w:jc w:val="left"/>
              <w:rPr>
                <w:rFonts w:cs="Arial"/>
                <w:color w:val="000000" w:themeColor="text1"/>
                <w:spacing w:val="-3"/>
                <w:sz w:val="22"/>
                <w:szCs w:val="22"/>
              </w:rPr>
            </w:pPr>
            <w:r w:rsidRPr="001A3DCB">
              <w:rPr>
                <w:rFonts w:cs="Arial"/>
                <w:b w:val="0"/>
                <w:i/>
                <w:color w:val="000000" w:themeColor="text1"/>
                <w:sz w:val="22"/>
                <w:szCs w:val="22"/>
              </w:rPr>
              <w:t>“Por la cual se definen los procesos y las condiciones a las que deberán sujetarse las entidades involucradas con ocasión del otorgamiento del Incentivo a la creación y permanencia de nuevos empleos formales, las reglas y el procedimiento de postulación y se dictan otras disposiciones”</w:t>
            </w:r>
          </w:p>
        </w:tc>
      </w:tr>
      <w:tr w:rsidR="00DF60FD" w:rsidRPr="001929AD" w14:paraId="2F9D5B45" w14:textId="77777777" w:rsidTr="0075705D">
        <w:trPr>
          <w:trHeight w:val="674"/>
        </w:trPr>
        <w:tc>
          <w:tcPr>
            <w:tcW w:w="10774" w:type="dxa"/>
            <w:gridSpan w:val="3"/>
            <w:tcBorders>
              <w:top w:val="single" w:sz="4" w:space="0" w:color="auto"/>
            </w:tcBorders>
            <w:shd w:val="clear" w:color="auto" w:fill="FFFFFF"/>
            <w:vAlign w:val="center"/>
          </w:tcPr>
          <w:p w14:paraId="137806BC" w14:textId="77777777" w:rsidR="006315B4" w:rsidRPr="001929AD" w:rsidRDefault="006315B4" w:rsidP="001929AD">
            <w:pPr>
              <w:pStyle w:val="Listavistosa-nfasis11"/>
              <w:spacing w:line="240" w:lineRule="auto"/>
              <w:ind w:left="494"/>
              <w:jc w:val="both"/>
              <w:rPr>
                <w:rFonts w:ascii="Arial" w:hAnsi="Arial" w:cs="Arial"/>
                <w:iCs/>
                <w:color w:val="000000" w:themeColor="text1"/>
              </w:rPr>
            </w:pPr>
          </w:p>
          <w:p w14:paraId="7EA71DA7" w14:textId="77777777" w:rsidR="0095690D" w:rsidRPr="00481A66" w:rsidRDefault="0095690D" w:rsidP="001929AD">
            <w:pPr>
              <w:pStyle w:val="Listavistosa-nfasis11"/>
              <w:spacing w:line="240" w:lineRule="auto"/>
              <w:ind w:left="494"/>
              <w:jc w:val="both"/>
              <w:rPr>
                <w:rFonts w:ascii="Arial" w:hAnsi="Arial" w:cs="Arial"/>
                <w:b/>
                <w:bCs/>
                <w:iCs/>
                <w:color w:val="000000" w:themeColor="text1"/>
              </w:rPr>
            </w:pPr>
            <w:r w:rsidRPr="00481A66">
              <w:rPr>
                <w:rFonts w:ascii="Arial" w:hAnsi="Arial" w:cs="Arial"/>
                <w:b/>
                <w:bCs/>
                <w:iCs/>
                <w:color w:val="000000" w:themeColor="text1"/>
              </w:rPr>
              <w:t>ANTECEDENTES Y RAZONES DE OPORTUNIDAD Y CONVENIENCIA QUE JUSTIFICAN SU EXPEDICIÓN.</w:t>
            </w:r>
          </w:p>
          <w:p w14:paraId="394B653A" w14:textId="77777777" w:rsidR="001A3DCB" w:rsidRPr="001929AD" w:rsidRDefault="001A3DCB" w:rsidP="001929AD">
            <w:pPr>
              <w:pStyle w:val="Listavistosa-nfasis11"/>
              <w:spacing w:line="240" w:lineRule="auto"/>
              <w:ind w:left="494"/>
              <w:jc w:val="both"/>
              <w:rPr>
                <w:rFonts w:ascii="Arial" w:hAnsi="Arial" w:cs="Arial"/>
                <w:iCs/>
                <w:color w:val="000000" w:themeColor="text1"/>
              </w:rPr>
            </w:pPr>
          </w:p>
          <w:p w14:paraId="6B4FD1B6" w14:textId="53ECFB81" w:rsidR="001A3DCB" w:rsidRPr="006F7B36" w:rsidRDefault="001A3DCB" w:rsidP="001929AD">
            <w:pPr>
              <w:pStyle w:val="Listavistosa-nfasis11"/>
              <w:spacing w:line="240" w:lineRule="auto"/>
              <w:ind w:left="494"/>
              <w:jc w:val="both"/>
              <w:rPr>
                <w:rFonts w:ascii="Arial" w:hAnsi="Arial" w:cs="Arial"/>
                <w:iCs/>
                <w:color w:val="000000" w:themeColor="text1"/>
              </w:rPr>
            </w:pPr>
            <w:r w:rsidRPr="006F7B36">
              <w:rPr>
                <w:rFonts w:ascii="Arial" w:hAnsi="Arial" w:cs="Arial"/>
                <w:iCs/>
                <w:color w:val="000000" w:themeColor="text1"/>
              </w:rPr>
              <w:t>El día 19 de mayo de 2023 el Gobierno nacional sancionó la Ley 2294 de 2023 “por medio de la cual se expide el Plan Nacional de Desarrollo 2022 – 2026 ´Colombia Potencia Mundial de la Vida´”, cuyo artículo 79, relativo al Incentivo a la Creación y Permanencia de Nuevos Empleos Formales, y con el objetivo de dar continuidad a las medidas encaminadas a la promoción, generación y protección del empleo formal, amplió la posibilidad de entregar el incentivo a la generación de nuevo empleo definido en el artículo 24 de la Ley 2155 de 2021 a aquellos empleadores que vinculen a trabajadores con discapacidad, dando la posibilidad de extender su vigencia hasta agosto de 2026.</w:t>
            </w:r>
          </w:p>
          <w:p w14:paraId="702D10B3" w14:textId="77777777" w:rsidR="001A3DCB" w:rsidRPr="006F7B36" w:rsidRDefault="001A3DCB" w:rsidP="001929AD">
            <w:pPr>
              <w:pStyle w:val="Listavistosa-nfasis11"/>
              <w:spacing w:line="240" w:lineRule="auto"/>
              <w:ind w:left="494"/>
              <w:jc w:val="both"/>
              <w:rPr>
                <w:rFonts w:ascii="Arial" w:hAnsi="Arial" w:cs="Arial"/>
                <w:iCs/>
                <w:color w:val="000000" w:themeColor="text1"/>
              </w:rPr>
            </w:pPr>
          </w:p>
          <w:p w14:paraId="2098D35F" w14:textId="05ADA7C2" w:rsidR="001A3DCB" w:rsidRDefault="001A3DCB" w:rsidP="001929AD">
            <w:pPr>
              <w:pStyle w:val="Listavistosa-nfasis11"/>
              <w:spacing w:line="240" w:lineRule="auto"/>
              <w:ind w:left="494"/>
              <w:jc w:val="both"/>
              <w:rPr>
                <w:rFonts w:ascii="Arial" w:hAnsi="Arial" w:cs="Arial"/>
                <w:iCs/>
                <w:color w:val="000000" w:themeColor="text1"/>
              </w:rPr>
            </w:pPr>
            <w:r w:rsidRPr="006F7B36">
              <w:rPr>
                <w:rFonts w:ascii="Arial" w:hAnsi="Arial" w:cs="Arial"/>
                <w:iCs/>
                <w:color w:val="000000" w:themeColor="text1"/>
              </w:rPr>
              <w:t>En el marco legal consagrado en el artículo 79 Ley 2294 de 2023, el Gobierno nacional expidió el Decreto</w:t>
            </w:r>
            <w:r w:rsidR="002E19C3">
              <w:rPr>
                <w:rFonts w:ascii="Arial" w:hAnsi="Arial" w:cs="Arial"/>
                <w:iCs/>
                <w:color w:val="000000" w:themeColor="text1"/>
              </w:rPr>
              <w:t>1736 del 20 de octubre de 2023</w:t>
            </w:r>
            <w:r w:rsidRPr="006F7B36">
              <w:rPr>
                <w:rFonts w:ascii="Arial" w:hAnsi="Arial" w:cs="Arial"/>
                <w:iCs/>
                <w:color w:val="000000" w:themeColor="text1"/>
              </w:rPr>
              <w:t xml:space="preserve"> “Por el cual se modifican unos artículos de la Sección 10 del Capítulo 1 del Título 6 de la Parte 2 del Libro 2 del Decreto 1072 de 2015, Único Reglamentario del Sector Trabajo y se reglamenta el “Incentivo a la creación y permanencia de nuevos empleos formales”</w:t>
            </w:r>
            <w:r w:rsidR="00185916">
              <w:rPr>
                <w:rFonts w:ascii="Arial" w:hAnsi="Arial" w:cs="Arial"/>
                <w:iCs/>
                <w:color w:val="000000" w:themeColor="text1"/>
              </w:rPr>
              <w:t xml:space="preserve">, donde se mantienen las poblaciones beneficiarias contempladas en el artículo 24 de la Ley 2155 de 2021 y los porcentajes </w:t>
            </w:r>
            <w:r w:rsidR="00A51044">
              <w:rPr>
                <w:rFonts w:ascii="Arial" w:hAnsi="Arial" w:cs="Arial"/>
                <w:iCs/>
                <w:color w:val="000000" w:themeColor="text1"/>
              </w:rPr>
              <w:t xml:space="preserve">que se reconocen sobre Salario Mínimo Mensual Legal Vigente -SMMLV </w:t>
            </w:r>
            <w:r w:rsidR="00913028">
              <w:rPr>
                <w:rFonts w:ascii="Arial" w:hAnsi="Arial" w:cs="Arial"/>
                <w:iCs/>
                <w:color w:val="000000" w:themeColor="text1"/>
              </w:rPr>
              <w:t>a los empleadores por la vinculación de esos grupos poblacionales, consagrados en el Decreto 3289 del 5 de noviembre de 2021</w:t>
            </w:r>
            <w:r w:rsidRPr="006F7B36">
              <w:rPr>
                <w:rFonts w:ascii="Arial" w:hAnsi="Arial" w:cs="Arial"/>
                <w:iCs/>
                <w:color w:val="000000" w:themeColor="text1"/>
              </w:rPr>
              <w:t>.</w:t>
            </w:r>
          </w:p>
          <w:p w14:paraId="3B7001A3" w14:textId="77777777" w:rsidR="00913028" w:rsidRDefault="00913028" w:rsidP="001929AD">
            <w:pPr>
              <w:pStyle w:val="Listavistosa-nfasis11"/>
              <w:spacing w:line="240" w:lineRule="auto"/>
              <w:ind w:left="494"/>
              <w:jc w:val="both"/>
              <w:rPr>
                <w:rFonts w:ascii="Arial" w:hAnsi="Arial" w:cs="Arial"/>
                <w:iCs/>
                <w:color w:val="000000" w:themeColor="text1"/>
              </w:rPr>
            </w:pPr>
          </w:p>
          <w:p w14:paraId="57E1AAA1" w14:textId="77777777" w:rsidR="001929AD" w:rsidRDefault="00913028" w:rsidP="001929AD">
            <w:pPr>
              <w:pStyle w:val="Listavistosa-nfasis11"/>
              <w:spacing w:line="240" w:lineRule="auto"/>
              <w:ind w:left="494"/>
              <w:jc w:val="both"/>
              <w:rPr>
                <w:rFonts w:ascii="Arial" w:hAnsi="Arial" w:cs="Arial"/>
                <w:iCs/>
                <w:color w:val="000000" w:themeColor="text1"/>
              </w:rPr>
            </w:pPr>
            <w:r>
              <w:rPr>
                <w:rFonts w:ascii="Arial" w:hAnsi="Arial" w:cs="Arial"/>
                <w:iCs/>
                <w:color w:val="000000" w:themeColor="text1"/>
              </w:rPr>
              <w:t>De acuerdo con lo anterior, se hace una reglamentación parcial del artículo 79 de la Ley 2294 de 2023, incluyendo la obligación de vincular a los nuevos trabajadores por un tiempo mínimo de seis (6) meses, con el fin de que se los empleadores se beneficien por la permanencia del trabajador en su empleo. Respecto de la entrega del beneficio por la vinculación de Personas con Discapacidad</w:t>
            </w:r>
            <w:r w:rsidR="00DB305D">
              <w:rPr>
                <w:rFonts w:ascii="Arial" w:hAnsi="Arial" w:cs="Arial"/>
                <w:iCs/>
                <w:color w:val="000000" w:themeColor="text1"/>
              </w:rPr>
              <w:t>, el Ministerio del Trabajo se encuentra evaluando el porcentaje de SMMLV que será entregado, de acuerdo con las proyecciones presupuestales para el año 2024</w:t>
            </w:r>
            <w:r w:rsidR="001929AD">
              <w:rPr>
                <w:rFonts w:ascii="Arial" w:hAnsi="Arial" w:cs="Arial"/>
                <w:iCs/>
                <w:color w:val="000000" w:themeColor="text1"/>
              </w:rPr>
              <w:t xml:space="preserve">, </w:t>
            </w:r>
            <w:r w:rsidR="001929AD" w:rsidRPr="001929AD">
              <w:rPr>
                <w:rFonts w:ascii="Arial" w:hAnsi="Arial" w:cs="Arial"/>
                <w:iCs/>
                <w:color w:val="000000" w:themeColor="text1"/>
              </w:rPr>
              <w:t xml:space="preserve">con el fin de dar continuidad al programa de generación de empleo, se regulará parcialmente el contenido del artículo 79 de la Ley 2294, extendiendo la vigencia del programa de generación de empleo hasta agosto de 2026, y por tanto se modificarán las disposiciones reglamentarias de la Sección 10 del Capítulo 1 del Título 6 de la Parte 2 del Libro 2 del Decreto 1072 de 2015 pertinentes, sin que se realice un cambio en los aspectos sustanciales que regulan actualmente el programa de generación de empleo.  </w:t>
            </w:r>
          </w:p>
          <w:p w14:paraId="666E6783" w14:textId="77777777" w:rsidR="001929AD" w:rsidRDefault="001929AD" w:rsidP="001929AD">
            <w:pPr>
              <w:pStyle w:val="Listavistosa-nfasis11"/>
              <w:spacing w:line="240" w:lineRule="auto"/>
              <w:ind w:left="494"/>
              <w:jc w:val="both"/>
              <w:rPr>
                <w:rFonts w:ascii="Arial" w:hAnsi="Arial" w:cs="Arial"/>
                <w:iCs/>
                <w:color w:val="000000" w:themeColor="text1"/>
              </w:rPr>
            </w:pPr>
          </w:p>
          <w:p w14:paraId="6E670D70" w14:textId="77777777" w:rsidR="001929AD" w:rsidRDefault="001929AD" w:rsidP="001929AD">
            <w:pPr>
              <w:pStyle w:val="Listavistosa-nfasis11"/>
              <w:spacing w:line="240" w:lineRule="auto"/>
              <w:ind w:left="494"/>
              <w:jc w:val="both"/>
              <w:rPr>
                <w:rFonts w:ascii="Arial" w:hAnsi="Arial" w:cs="Arial"/>
                <w:iCs/>
                <w:color w:val="000000" w:themeColor="text1"/>
              </w:rPr>
            </w:pPr>
            <w:r>
              <w:rPr>
                <w:rFonts w:ascii="Arial" w:hAnsi="Arial" w:cs="Arial"/>
                <w:iCs/>
                <w:color w:val="000000" w:themeColor="text1"/>
              </w:rPr>
              <w:t>Para l</w:t>
            </w:r>
            <w:r w:rsidRPr="001929AD">
              <w:rPr>
                <w:rFonts w:ascii="Arial" w:hAnsi="Arial" w:cs="Arial"/>
                <w:iCs/>
                <w:color w:val="000000" w:themeColor="text1"/>
              </w:rPr>
              <w:t>a implementación integral del artículo 79 de la Ley 2294 de 2023, actualmente el Gobierno Nacional se encuentra diseñando los requisitos de acceso y permanencia, las poblaciones beneficiarias, los montos y mecanismos para otorgar el incentivo y los demás aspectos necesarios para su implementación, teniendo en cuenta la ampliación del beneficio a los empleadores que vinculen a trabajadores con discapacidad, extendiendo su vigencia hasta el año 2026.</w:t>
            </w:r>
          </w:p>
          <w:p w14:paraId="548F57E4" w14:textId="77777777" w:rsidR="001929AD" w:rsidRDefault="001929AD" w:rsidP="001929AD">
            <w:pPr>
              <w:pStyle w:val="Listavistosa-nfasis11"/>
              <w:spacing w:line="240" w:lineRule="auto"/>
              <w:ind w:left="494"/>
              <w:jc w:val="both"/>
              <w:rPr>
                <w:rFonts w:ascii="Arial" w:hAnsi="Arial" w:cs="Arial"/>
                <w:iCs/>
                <w:color w:val="000000" w:themeColor="text1"/>
              </w:rPr>
            </w:pPr>
          </w:p>
          <w:p w14:paraId="1C80AB5D" w14:textId="027B7049" w:rsidR="00913028" w:rsidRDefault="00DB305D" w:rsidP="001929AD">
            <w:pPr>
              <w:pStyle w:val="Listavistosa-nfasis11"/>
              <w:spacing w:line="240" w:lineRule="auto"/>
              <w:ind w:left="494"/>
              <w:jc w:val="both"/>
              <w:rPr>
                <w:rFonts w:ascii="Arial" w:hAnsi="Arial" w:cs="Arial"/>
                <w:iCs/>
                <w:color w:val="000000" w:themeColor="text1"/>
              </w:rPr>
            </w:pPr>
            <w:r>
              <w:rPr>
                <w:rFonts w:ascii="Arial" w:hAnsi="Arial" w:cs="Arial"/>
                <w:iCs/>
                <w:color w:val="000000" w:themeColor="text1"/>
              </w:rPr>
              <w:t xml:space="preserve">El proyecto de resolución busca </w:t>
            </w:r>
            <w:r w:rsidRPr="00DB305D">
              <w:rPr>
                <w:rFonts w:ascii="Arial" w:hAnsi="Arial" w:cs="Arial"/>
                <w:iCs/>
                <w:color w:val="000000" w:themeColor="text1"/>
              </w:rPr>
              <w:t xml:space="preserve">establecer los procesos y las condiciones a las que deberán sujetarse las entidades involucradas con ocasión al otorgamiento del Incentivo a la creación y permanencia de nuevos empleos formales de que trata el artículo 79 de la Ley 2294 e 2023,  reglamentado  en la  Sección 10 del Capítulo 1 del Título 6 de la Parte 2 del Libro 2 del  Decreto  1072  de 2015,  Único  Reglamentario  </w:t>
            </w:r>
            <w:r w:rsidRPr="00DB305D">
              <w:rPr>
                <w:rFonts w:ascii="Arial" w:hAnsi="Arial" w:cs="Arial"/>
                <w:iCs/>
                <w:color w:val="000000" w:themeColor="text1"/>
              </w:rPr>
              <w:lastRenderedPageBreak/>
              <w:t>del  Sector Trabajo, y su  aplicación  a  las  cooperativas de trabajo  asociado en los  términos de los artículos 24 y 25 de la Ley 2155 de 2021</w:t>
            </w:r>
            <w:r>
              <w:rPr>
                <w:rFonts w:ascii="Arial" w:hAnsi="Arial" w:cs="Arial"/>
                <w:iCs/>
                <w:color w:val="000000" w:themeColor="text1"/>
              </w:rPr>
              <w:t xml:space="preserve"> hasta tanto se expida la reglamentación integral del artículo 79.</w:t>
            </w:r>
          </w:p>
          <w:p w14:paraId="75BCECE1" w14:textId="77777777" w:rsidR="00DB305D" w:rsidRPr="007A7638" w:rsidRDefault="00DB305D" w:rsidP="001929AD">
            <w:pPr>
              <w:pStyle w:val="Listavistosa-nfasis11"/>
              <w:spacing w:line="240" w:lineRule="auto"/>
              <w:ind w:left="494"/>
              <w:jc w:val="both"/>
              <w:rPr>
                <w:rFonts w:ascii="Arial" w:hAnsi="Arial" w:cs="Arial"/>
                <w:iCs/>
                <w:color w:val="FF0000"/>
              </w:rPr>
            </w:pPr>
          </w:p>
          <w:p w14:paraId="289CEC2C" w14:textId="53A16583" w:rsidR="000501E9" w:rsidRPr="00B3283F" w:rsidRDefault="006D14CD" w:rsidP="001929AD">
            <w:pPr>
              <w:pStyle w:val="Listavistosa-nfasis11"/>
              <w:spacing w:line="240" w:lineRule="auto"/>
              <w:ind w:left="494"/>
              <w:jc w:val="both"/>
              <w:rPr>
                <w:rFonts w:ascii="Arial" w:hAnsi="Arial" w:cs="Arial"/>
                <w:iCs/>
              </w:rPr>
            </w:pPr>
            <w:r w:rsidRPr="00B3283F">
              <w:rPr>
                <w:rFonts w:ascii="Arial" w:hAnsi="Arial" w:cs="Arial"/>
                <w:iCs/>
              </w:rPr>
              <w:t xml:space="preserve">Teniendo en cuenta que el presente proyecto de </w:t>
            </w:r>
            <w:r w:rsidR="00B3283F" w:rsidRPr="00B3283F">
              <w:rPr>
                <w:rFonts w:ascii="Arial" w:hAnsi="Arial" w:cs="Arial"/>
                <w:iCs/>
              </w:rPr>
              <w:t>resolución contempla</w:t>
            </w:r>
            <w:r w:rsidRPr="00B3283F">
              <w:rPr>
                <w:rFonts w:ascii="Arial" w:hAnsi="Arial" w:cs="Arial"/>
                <w:iCs/>
              </w:rPr>
              <w:t xml:space="preserve"> procesos operativos, de acceso y permanencia que concretan de manera subsiguiente la implementación de lo dispuesto en el </w:t>
            </w:r>
            <w:r w:rsidR="000501E9" w:rsidRPr="00B3283F">
              <w:rPr>
                <w:rFonts w:ascii="Arial" w:hAnsi="Arial" w:cs="Arial"/>
                <w:iCs/>
              </w:rPr>
              <w:t xml:space="preserve">Decreto 1736 del 20 de octubre de 2023, se hará publicidad de </w:t>
            </w:r>
            <w:proofErr w:type="gramStart"/>
            <w:r w:rsidR="000501E9" w:rsidRPr="00B3283F">
              <w:rPr>
                <w:rFonts w:ascii="Arial" w:hAnsi="Arial" w:cs="Arial"/>
                <w:iCs/>
              </w:rPr>
              <w:t>la misma</w:t>
            </w:r>
            <w:proofErr w:type="gramEnd"/>
            <w:r w:rsidR="000501E9" w:rsidRPr="00B3283F">
              <w:rPr>
                <w:rFonts w:ascii="Arial" w:hAnsi="Arial" w:cs="Arial"/>
                <w:iCs/>
              </w:rPr>
              <w:t xml:space="preserve"> por el término de tres (3) días calendario</w:t>
            </w:r>
            <w:r w:rsidR="00BD18B7" w:rsidRPr="00B3283F">
              <w:rPr>
                <w:rFonts w:ascii="Arial" w:hAnsi="Arial" w:cs="Arial"/>
                <w:iCs/>
              </w:rPr>
              <w:t xml:space="preserve"> en los canales habilitados por el gobierno nacional para este propósito, de tal manera que se de celeridad a</w:t>
            </w:r>
            <w:r w:rsidR="007A7638" w:rsidRPr="00B3283F">
              <w:rPr>
                <w:rFonts w:ascii="Arial" w:hAnsi="Arial" w:cs="Arial"/>
                <w:iCs/>
              </w:rPr>
              <w:t xml:space="preserve"> la ejecución y acceso a los incentivos creados.</w:t>
            </w:r>
          </w:p>
          <w:p w14:paraId="35BBDE8E" w14:textId="77777777" w:rsidR="006D14CD" w:rsidRDefault="006D14CD" w:rsidP="000501E9">
            <w:pPr>
              <w:pStyle w:val="Listavistosa-nfasis11"/>
              <w:spacing w:line="240" w:lineRule="auto"/>
              <w:ind w:left="0"/>
              <w:jc w:val="both"/>
              <w:rPr>
                <w:rFonts w:ascii="Arial" w:hAnsi="Arial" w:cs="Arial"/>
                <w:iCs/>
                <w:color w:val="000000" w:themeColor="text1"/>
              </w:rPr>
            </w:pPr>
          </w:p>
          <w:p w14:paraId="1EA9757E" w14:textId="393B5F18" w:rsidR="00DB305D" w:rsidRPr="00DB305D" w:rsidRDefault="00DB305D" w:rsidP="001929AD">
            <w:pPr>
              <w:pStyle w:val="Listavistosa-nfasis11"/>
              <w:spacing w:line="240" w:lineRule="auto"/>
              <w:ind w:left="494"/>
              <w:jc w:val="both"/>
              <w:rPr>
                <w:rFonts w:ascii="Arial" w:hAnsi="Arial" w:cs="Arial"/>
                <w:iCs/>
                <w:color w:val="000000" w:themeColor="text1"/>
              </w:rPr>
            </w:pPr>
            <w:r>
              <w:rPr>
                <w:rFonts w:ascii="Arial" w:hAnsi="Arial" w:cs="Arial"/>
                <w:iCs/>
                <w:color w:val="000000" w:themeColor="text1"/>
              </w:rPr>
              <w:t>La implementación del I</w:t>
            </w:r>
            <w:r w:rsidRPr="00DB305D">
              <w:rPr>
                <w:rFonts w:ascii="Arial" w:hAnsi="Arial" w:cs="Arial"/>
                <w:iCs/>
                <w:color w:val="000000" w:themeColor="text1"/>
              </w:rPr>
              <w:t xml:space="preserve">ncentivo a la </w:t>
            </w:r>
            <w:r>
              <w:rPr>
                <w:rFonts w:ascii="Arial" w:hAnsi="Arial" w:cs="Arial"/>
                <w:iCs/>
                <w:color w:val="000000" w:themeColor="text1"/>
              </w:rPr>
              <w:t>creación de nuevos empleos consagrado en el artículo 24 de la Ley 2155 de 20</w:t>
            </w:r>
            <w:r w:rsidR="001929AD">
              <w:rPr>
                <w:rFonts w:ascii="Arial" w:hAnsi="Arial" w:cs="Arial"/>
                <w:iCs/>
                <w:color w:val="000000" w:themeColor="text1"/>
              </w:rPr>
              <w:t xml:space="preserve">21 </w:t>
            </w:r>
            <w:r w:rsidRPr="00DB305D">
              <w:rPr>
                <w:rFonts w:ascii="Arial" w:hAnsi="Arial" w:cs="Arial"/>
                <w:iCs/>
                <w:color w:val="000000" w:themeColor="text1"/>
              </w:rPr>
              <w:t xml:space="preserve">ha tenido un impacto positivo en la economía y la sociedad colombiana al crear empleos, promover la igualdad de oportunidades y mejorar la tasa de ocupación laboral. </w:t>
            </w:r>
          </w:p>
          <w:p w14:paraId="660D14C0" w14:textId="77777777" w:rsidR="00DB305D" w:rsidRPr="00DB305D" w:rsidRDefault="00DB305D" w:rsidP="001929AD">
            <w:pPr>
              <w:pStyle w:val="Listavistosa-nfasis11"/>
              <w:spacing w:line="240" w:lineRule="auto"/>
              <w:ind w:left="494"/>
              <w:jc w:val="both"/>
              <w:rPr>
                <w:rFonts w:ascii="Arial" w:hAnsi="Arial" w:cs="Arial"/>
                <w:iCs/>
                <w:color w:val="000000" w:themeColor="text1"/>
              </w:rPr>
            </w:pPr>
          </w:p>
          <w:p w14:paraId="69F035C7" w14:textId="4D1392C1" w:rsidR="00DB305D" w:rsidRDefault="00DB305D" w:rsidP="001929AD">
            <w:pPr>
              <w:pStyle w:val="Listavistosa-nfasis11"/>
              <w:spacing w:line="240" w:lineRule="auto"/>
              <w:ind w:left="494"/>
              <w:jc w:val="both"/>
              <w:rPr>
                <w:rFonts w:ascii="Arial" w:hAnsi="Arial" w:cs="Arial"/>
                <w:iCs/>
                <w:color w:val="000000" w:themeColor="text1"/>
              </w:rPr>
            </w:pPr>
            <w:r>
              <w:rPr>
                <w:rFonts w:ascii="Arial" w:hAnsi="Arial" w:cs="Arial"/>
                <w:iCs/>
                <w:color w:val="000000" w:themeColor="text1"/>
              </w:rPr>
              <w:t>A</w:t>
            </w:r>
            <w:r w:rsidRPr="00DB305D">
              <w:rPr>
                <w:rFonts w:ascii="Arial" w:hAnsi="Arial" w:cs="Arial"/>
                <w:iCs/>
                <w:color w:val="000000" w:themeColor="text1"/>
              </w:rPr>
              <w:t xml:space="preserve"> continuación, se detallan los 10 sectores empresariales que han registrado la mayor demanda del incentivo a la creación de empleo, con un desglose que incluye los grupos demográficos que han sido beneficiados por este programa:</w:t>
            </w:r>
          </w:p>
          <w:p w14:paraId="79646248" w14:textId="441F70FE" w:rsidR="00DB305D" w:rsidRDefault="00DB305D" w:rsidP="001929AD">
            <w:pPr>
              <w:pStyle w:val="Listavistosa-nfasis11"/>
              <w:spacing w:line="240" w:lineRule="auto"/>
              <w:ind w:left="494"/>
              <w:jc w:val="both"/>
              <w:rPr>
                <w:rFonts w:ascii="Arial" w:hAnsi="Arial" w:cs="Arial"/>
                <w:iCs/>
                <w:color w:val="000000" w:themeColor="text1"/>
              </w:rPr>
            </w:pPr>
            <w:r w:rsidRPr="001929AD">
              <w:rPr>
                <w:rFonts w:ascii="Arial" w:hAnsi="Arial" w:cs="Arial"/>
                <w:iCs/>
                <w:noProof/>
                <w:color w:val="000000" w:themeColor="text1"/>
              </w:rPr>
              <w:drawing>
                <wp:inline distT="0" distB="0" distL="0" distR="0" wp14:anchorId="053E8849" wp14:editId="0DEECFE4">
                  <wp:extent cx="5934075" cy="2862580"/>
                  <wp:effectExtent l="0" t="0" r="9525" b="0"/>
                  <wp:docPr id="13" name="Imagen 1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Tabla&#10;&#10;Descripción generada automáticamente"/>
                          <pic:cNvPicPr/>
                        </pic:nvPicPr>
                        <pic:blipFill>
                          <a:blip r:embed="rId8">
                            <a:extLst>
                              <a:ext uri="{BEBA8EAE-BF5A-486C-A8C5-ECC9F3942E4B}">
                                <a14:imgProps xmlns:a14="http://schemas.microsoft.com/office/drawing/2010/main">
                                  <a14:imgLayer r:embed="rId9">
                                    <a14:imgEffect>
                                      <a14:saturation sat="0"/>
                                    </a14:imgEffect>
                                  </a14:imgLayer>
                                </a14:imgProps>
                              </a:ext>
                            </a:extLst>
                          </a:blip>
                          <a:stretch>
                            <a:fillRect/>
                          </a:stretch>
                        </pic:blipFill>
                        <pic:spPr>
                          <a:xfrm>
                            <a:off x="0" y="0"/>
                            <a:ext cx="5957950" cy="2874097"/>
                          </a:xfrm>
                          <a:prstGeom prst="rect">
                            <a:avLst/>
                          </a:prstGeom>
                        </pic:spPr>
                      </pic:pic>
                    </a:graphicData>
                  </a:graphic>
                </wp:inline>
              </w:drawing>
            </w:r>
          </w:p>
          <w:p w14:paraId="34601FAB" w14:textId="77777777" w:rsidR="00A56C14" w:rsidRDefault="00A56C14" w:rsidP="001929AD">
            <w:pPr>
              <w:pStyle w:val="Listavistosa-nfasis11"/>
              <w:spacing w:line="240" w:lineRule="auto"/>
              <w:ind w:left="494"/>
              <w:jc w:val="both"/>
              <w:rPr>
                <w:rFonts w:ascii="Arial" w:hAnsi="Arial" w:cs="Arial"/>
                <w:iCs/>
                <w:color w:val="000000" w:themeColor="text1"/>
              </w:rPr>
            </w:pPr>
          </w:p>
          <w:p w14:paraId="4A0642F6" w14:textId="77777777" w:rsidR="00A56C14" w:rsidRPr="001929AD" w:rsidRDefault="00A56C14" w:rsidP="001929AD">
            <w:pPr>
              <w:pStyle w:val="Listavistosa-nfasis11"/>
              <w:spacing w:line="240" w:lineRule="auto"/>
              <w:ind w:left="494"/>
              <w:jc w:val="both"/>
              <w:rPr>
                <w:rFonts w:ascii="Arial" w:hAnsi="Arial" w:cs="Arial"/>
                <w:iCs/>
                <w:color w:val="000000" w:themeColor="text1"/>
              </w:rPr>
            </w:pPr>
            <w:bookmarkStart w:id="0" w:name="_Hlk146104086"/>
            <w:proofErr w:type="spellStart"/>
            <w:r w:rsidRPr="001929AD">
              <w:rPr>
                <w:rFonts w:ascii="Arial" w:hAnsi="Arial" w:cs="Arial"/>
                <w:iCs/>
                <w:color w:val="000000" w:themeColor="text1"/>
              </w:rPr>
              <w:t>Fuente:UGPP</w:t>
            </w:r>
            <w:proofErr w:type="spellEnd"/>
            <w:r w:rsidRPr="001929AD">
              <w:rPr>
                <w:rFonts w:ascii="Arial" w:hAnsi="Arial" w:cs="Arial"/>
                <w:iCs/>
                <w:color w:val="000000" w:themeColor="text1"/>
              </w:rPr>
              <w:t xml:space="preserve"> https://www.paef.ugpp.gov.co/ver20/anexos/V3/DS_Boletin_consolidado_Ciclo1_EO3_22_NUEVOE_V4_DC.pdf</w:t>
            </w:r>
          </w:p>
          <w:bookmarkEnd w:id="0"/>
          <w:p w14:paraId="6D43AA29" w14:textId="77777777" w:rsidR="00A56C14" w:rsidRPr="001929AD" w:rsidRDefault="00A56C14" w:rsidP="001929AD">
            <w:pPr>
              <w:pStyle w:val="Listavistosa-nfasis11"/>
              <w:spacing w:line="240" w:lineRule="auto"/>
              <w:ind w:left="494"/>
              <w:jc w:val="both"/>
              <w:rPr>
                <w:rFonts w:ascii="Arial" w:hAnsi="Arial" w:cs="Arial"/>
                <w:iCs/>
                <w:color w:val="000000" w:themeColor="text1"/>
              </w:rPr>
            </w:pPr>
          </w:p>
          <w:p w14:paraId="778E7E3C" w14:textId="2F40655C" w:rsidR="00A56C14" w:rsidRPr="001929AD" w:rsidRDefault="00A56C14" w:rsidP="001929AD">
            <w:pPr>
              <w:pStyle w:val="Listavistosa-nfasis11"/>
              <w:spacing w:line="240" w:lineRule="auto"/>
              <w:ind w:left="494"/>
              <w:jc w:val="both"/>
              <w:rPr>
                <w:rFonts w:ascii="Arial" w:hAnsi="Arial" w:cs="Arial"/>
                <w:iCs/>
                <w:color w:val="000000" w:themeColor="text1"/>
              </w:rPr>
            </w:pPr>
            <w:r w:rsidRPr="001929AD">
              <w:rPr>
                <w:rFonts w:ascii="Arial" w:hAnsi="Arial" w:cs="Arial"/>
                <w:iCs/>
                <w:color w:val="000000" w:themeColor="text1"/>
              </w:rPr>
              <w:t>Desde septiembre de 2021 (mes de entrada en vigencia de la Ley 2155 de 2021) hasta junio de 2023, el programa ha brindado beneficios a un total de 22,786 empleadores, los cuales han contribuido a la creación de 798,133 nuevos puestos de trabajo. Este número se desglosa en 574,657 empleos para jóvenes, 119,581 para mujeres mayores de 28 años y 103,895 para hombres mayores de 28 años. En términos económicos, el gasto social por el incentivo a la generación de empleos ha significado en un total de $680,829 millones de pesos. Esto representa una inversión significativa por parte del gobierno en la generación de empleo formal.</w:t>
            </w:r>
          </w:p>
          <w:p w14:paraId="308DBB9C" w14:textId="77777777" w:rsidR="00A56C14" w:rsidRPr="001929AD" w:rsidRDefault="00A56C14" w:rsidP="001929AD">
            <w:pPr>
              <w:pStyle w:val="Listavistosa-nfasis11"/>
              <w:spacing w:line="240" w:lineRule="auto"/>
              <w:ind w:left="494"/>
              <w:jc w:val="both"/>
              <w:rPr>
                <w:rFonts w:ascii="Arial" w:hAnsi="Arial" w:cs="Arial"/>
                <w:iCs/>
                <w:color w:val="000000" w:themeColor="text1"/>
              </w:rPr>
            </w:pPr>
          </w:p>
          <w:p w14:paraId="39493A1E" w14:textId="00A30276" w:rsidR="00A56C14" w:rsidRPr="001929AD" w:rsidRDefault="00A56C14" w:rsidP="001929AD">
            <w:pPr>
              <w:pStyle w:val="Listavistosa-nfasis11"/>
              <w:spacing w:line="240" w:lineRule="auto"/>
              <w:ind w:left="494"/>
              <w:jc w:val="both"/>
              <w:rPr>
                <w:rFonts w:ascii="Arial" w:hAnsi="Arial" w:cs="Arial"/>
                <w:iCs/>
                <w:color w:val="000000" w:themeColor="text1"/>
              </w:rPr>
            </w:pPr>
            <w:r w:rsidRPr="001929AD">
              <w:rPr>
                <w:rFonts w:ascii="Arial" w:hAnsi="Arial" w:cs="Arial"/>
                <w:iCs/>
                <w:color w:val="000000" w:themeColor="text1"/>
              </w:rPr>
              <w:lastRenderedPageBreak/>
              <w:t xml:space="preserve">Es relevante destacar que el programa ha tenido un impacto significativo en empresas de diferentes tamaños. La mayoría de los beneficiarios pertenecen al segmento de microempresas, con 11,652 empleadores que han participado. Le siguen las pequeñas empresas, con 7,290 empleadores, y las medianas empresas, con 2,519 empleadores. Sin embargo, cabe mencionar que las empresas de gran tamaño han recibido los mayores desembolsos, dado que tienen la capacidad de generar un mayor número de empleos. </w:t>
            </w:r>
          </w:p>
          <w:p w14:paraId="557D3352" w14:textId="77777777" w:rsidR="00A56C14" w:rsidRPr="001929AD" w:rsidRDefault="00A56C14" w:rsidP="001929AD">
            <w:pPr>
              <w:pStyle w:val="Listavistosa-nfasis11"/>
              <w:spacing w:line="240" w:lineRule="auto"/>
              <w:ind w:left="494"/>
              <w:jc w:val="both"/>
              <w:rPr>
                <w:rFonts w:ascii="Arial" w:hAnsi="Arial" w:cs="Arial"/>
                <w:iCs/>
                <w:color w:val="000000" w:themeColor="text1"/>
              </w:rPr>
            </w:pPr>
          </w:p>
          <w:p w14:paraId="12F562C9" w14:textId="494775C0" w:rsidR="002E4A97" w:rsidRPr="001929AD" w:rsidRDefault="00A56C14" w:rsidP="001929AD">
            <w:pPr>
              <w:pStyle w:val="Listavistosa-nfasis11"/>
              <w:spacing w:line="240" w:lineRule="auto"/>
              <w:ind w:left="494"/>
              <w:jc w:val="both"/>
              <w:rPr>
                <w:rFonts w:ascii="Arial" w:hAnsi="Arial" w:cs="Arial"/>
                <w:iCs/>
                <w:color w:val="000000" w:themeColor="text1"/>
              </w:rPr>
            </w:pPr>
            <w:r w:rsidRPr="001929AD">
              <w:rPr>
                <w:rFonts w:ascii="Arial" w:hAnsi="Arial" w:cs="Arial"/>
                <w:iCs/>
                <w:color w:val="000000" w:themeColor="text1"/>
              </w:rPr>
              <w:t>A continuación, se presenta un resumen de los beneficiarios según el tamaño de la empresa empleadora:</w:t>
            </w:r>
          </w:p>
          <w:p w14:paraId="7E6DFAD9" w14:textId="77777777" w:rsidR="00A56C14" w:rsidRPr="001929AD" w:rsidRDefault="00A56C14" w:rsidP="001929AD">
            <w:pPr>
              <w:pStyle w:val="Listavistosa-nfasis11"/>
              <w:spacing w:line="240" w:lineRule="auto"/>
              <w:ind w:left="494"/>
              <w:jc w:val="both"/>
              <w:rPr>
                <w:rFonts w:ascii="Arial" w:hAnsi="Arial" w:cs="Arial"/>
                <w:iCs/>
                <w:color w:val="000000" w:themeColor="text1"/>
              </w:rPr>
            </w:pPr>
          </w:p>
          <w:p w14:paraId="5A92B41D" w14:textId="77777777" w:rsidR="00A56C14" w:rsidRPr="001929AD" w:rsidRDefault="00A56C14" w:rsidP="001929AD">
            <w:pPr>
              <w:pStyle w:val="Listavistosa-nfasis11"/>
              <w:spacing w:line="240" w:lineRule="auto"/>
              <w:ind w:left="494"/>
              <w:jc w:val="both"/>
              <w:rPr>
                <w:rFonts w:ascii="Arial" w:hAnsi="Arial" w:cs="Arial"/>
                <w:iCs/>
                <w:color w:val="000000" w:themeColor="text1"/>
              </w:rPr>
            </w:pPr>
            <w:r w:rsidRPr="001929AD">
              <w:rPr>
                <w:rFonts w:ascii="Arial" w:hAnsi="Arial" w:cs="Arial"/>
                <w:iCs/>
                <w:noProof/>
                <w:color w:val="000000" w:themeColor="text1"/>
              </w:rPr>
              <w:drawing>
                <wp:inline distT="0" distB="0" distL="0" distR="0" wp14:anchorId="224BDF2E" wp14:editId="3C68B09B">
                  <wp:extent cx="6657975" cy="1723966"/>
                  <wp:effectExtent l="0" t="0" r="0" b="0"/>
                  <wp:docPr id="16" name="Imagen 16"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Tabla&#10;&#10;Descripción generada automáticamente"/>
                          <pic:cNvPicPr/>
                        </pic:nvPicPr>
                        <pic:blipFill rotWithShape="1">
                          <a:blip r:embed="rId10">
                            <a:extLst>
                              <a:ext uri="{BEBA8EAE-BF5A-486C-A8C5-ECC9F3942E4B}">
                                <a14:imgProps xmlns:a14="http://schemas.microsoft.com/office/drawing/2010/main">
                                  <a14:imgLayer r:embed="rId11">
                                    <a14:imgEffect>
                                      <a14:saturation sat="0"/>
                                    </a14:imgEffect>
                                  </a14:imgLayer>
                                </a14:imgProps>
                              </a:ext>
                            </a:extLst>
                          </a:blip>
                          <a:srcRect t="8569"/>
                          <a:stretch/>
                        </pic:blipFill>
                        <pic:spPr bwMode="auto">
                          <a:xfrm>
                            <a:off x="0" y="0"/>
                            <a:ext cx="6736358" cy="1744262"/>
                          </a:xfrm>
                          <a:prstGeom prst="rect">
                            <a:avLst/>
                          </a:prstGeom>
                          <a:ln>
                            <a:noFill/>
                          </a:ln>
                          <a:extLst>
                            <a:ext uri="{53640926-AAD7-44D8-BBD7-CCE9431645EC}">
                              <a14:shadowObscured xmlns:a14="http://schemas.microsoft.com/office/drawing/2010/main"/>
                            </a:ext>
                          </a:extLst>
                        </pic:spPr>
                      </pic:pic>
                    </a:graphicData>
                  </a:graphic>
                </wp:inline>
              </w:drawing>
            </w:r>
          </w:p>
          <w:p w14:paraId="36F9259D" w14:textId="77777777" w:rsidR="00A56C14" w:rsidRPr="001929AD" w:rsidRDefault="00A56C14" w:rsidP="001929AD">
            <w:pPr>
              <w:pStyle w:val="Listavistosa-nfasis11"/>
              <w:spacing w:line="240" w:lineRule="auto"/>
              <w:ind w:left="494"/>
              <w:jc w:val="both"/>
              <w:rPr>
                <w:rFonts w:ascii="Arial" w:hAnsi="Arial" w:cs="Arial"/>
                <w:iCs/>
                <w:color w:val="000000" w:themeColor="text1"/>
              </w:rPr>
            </w:pPr>
          </w:p>
          <w:p w14:paraId="77ED49C7" w14:textId="77777777" w:rsidR="00A56C14" w:rsidRPr="00A56C14" w:rsidRDefault="00A56C14" w:rsidP="001929AD">
            <w:pPr>
              <w:pStyle w:val="Listavistosa-nfasis11"/>
              <w:spacing w:line="240" w:lineRule="auto"/>
              <w:ind w:left="494"/>
              <w:jc w:val="both"/>
              <w:rPr>
                <w:rFonts w:ascii="Arial" w:hAnsi="Arial" w:cs="Arial"/>
                <w:iCs/>
                <w:color w:val="000000" w:themeColor="text1"/>
              </w:rPr>
            </w:pPr>
            <w:proofErr w:type="spellStart"/>
            <w:r w:rsidRPr="00A56C14">
              <w:rPr>
                <w:rFonts w:ascii="Arial" w:hAnsi="Arial" w:cs="Arial"/>
                <w:iCs/>
                <w:color w:val="000000" w:themeColor="text1"/>
              </w:rPr>
              <w:t>Fuente:UGPP</w:t>
            </w:r>
            <w:proofErr w:type="spellEnd"/>
            <w:r w:rsidRPr="00A56C14">
              <w:rPr>
                <w:rFonts w:ascii="Arial" w:hAnsi="Arial" w:cs="Arial"/>
                <w:iCs/>
                <w:color w:val="000000" w:themeColor="text1"/>
              </w:rPr>
              <w:t xml:space="preserve"> https://www.paef.ugpp.gov.co/ver20/anexos/V3/DS_Boletin_consolidado_Ciclo1_EO3_22_NUEVOE_V4_DC.pdf</w:t>
            </w:r>
          </w:p>
          <w:p w14:paraId="194544BE" w14:textId="77777777" w:rsidR="00A56C14" w:rsidRPr="001929AD" w:rsidRDefault="00A56C14" w:rsidP="001929AD">
            <w:pPr>
              <w:pStyle w:val="Listavistosa-nfasis11"/>
              <w:spacing w:line="240" w:lineRule="auto"/>
              <w:ind w:left="494"/>
              <w:jc w:val="both"/>
              <w:rPr>
                <w:rFonts w:ascii="Arial" w:hAnsi="Arial" w:cs="Arial"/>
                <w:iCs/>
                <w:color w:val="000000" w:themeColor="text1"/>
              </w:rPr>
            </w:pPr>
          </w:p>
          <w:p w14:paraId="053720E5" w14:textId="7BE9327E" w:rsidR="00A56C14" w:rsidRPr="001929AD" w:rsidRDefault="00A56C14" w:rsidP="001929AD">
            <w:pPr>
              <w:pStyle w:val="Listavistosa-nfasis11"/>
              <w:spacing w:line="240" w:lineRule="auto"/>
              <w:ind w:left="494"/>
              <w:jc w:val="both"/>
              <w:rPr>
                <w:rFonts w:ascii="Arial" w:hAnsi="Arial" w:cs="Arial"/>
                <w:iCs/>
                <w:color w:val="000000" w:themeColor="text1"/>
              </w:rPr>
            </w:pPr>
            <w:r w:rsidRPr="001929AD">
              <w:rPr>
                <w:rFonts w:ascii="Arial" w:hAnsi="Arial" w:cs="Arial"/>
                <w:iCs/>
                <w:color w:val="000000" w:themeColor="text1"/>
              </w:rPr>
              <w:t>El comportamiento de la tasa de ocupación (TO) desde el 2019 es preciso para analizar el impacto que ha tenido el incentivo a la generación de empleo. Por ejemplo, la TO fue 58,6% para julio de 2023, lo que representó un aumento de 2,1 puntos porcentuales respecto al mismo mes de 2022 (56,5%), por otra parte, TO ha venido en aumento, salvo en 2020 que tuvo una leve caída:</w:t>
            </w:r>
          </w:p>
          <w:p w14:paraId="2EF5A9D4" w14:textId="6212F78B" w:rsidR="00A56C14" w:rsidRPr="001929AD" w:rsidRDefault="00A56C14" w:rsidP="001929AD">
            <w:pPr>
              <w:pStyle w:val="Listavistosa-nfasis11"/>
              <w:spacing w:line="240" w:lineRule="auto"/>
              <w:ind w:left="494"/>
              <w:jc w:val="both"/>
              <w:rPr>
                <w:rFonts w:ascii="Arial" w:hAnsi="Arial" w:cs="Arial"/>
                <w:iCs/>
                <w:color w:val="000000" w:themeColor="text1"/>
              </w:rPr>
            </w:pPr>
            <w:r w:rsidRPr="001929AD">
              <w:rPr>
                <w:rFonts w:ascii="Arial" w:hAnsi="Arial" w:cs="Arial"/>
                <w:iCs/>
                <w:color w:val="000000" w:themeColor="text1"/>
              </w:rPr>
              <w:t xml:space="preserve"> </w:t>
            </w:r>
          </w:p>
          <w:p w14:paraId="218100E3" w14:textId="0CAF7BFF" w:rsidR="00A56C14" w:rsidRPr="001929AD" w:rsidRDefault="00A56C14" w:rsidP="001929AD">
            <w:pPr>
              <w:pStyle w:val="Listavistosa-nfasis11"/>
              <w:spacing w:line="240" w:lineRule="auto"/>
              <w:ind w:left="494"/>
              <w:jc w:val="both"/>
              <w:rPr>
                <w:rFonts w:ascii="Arial" w:hAnsi="Arial" w:cs="Arial"/>
                <w:iCs/>
                <w:color w:val="000000" w:themeColor="text1"/>
              </w:rPr>
            </w:pPr>
            <w:r w:rsidRPr="001929AD">
              <w:rPr>
                <w:rFonts w:ascii="Arial" w:hAnsi="Arial" w:cs="Arial"/>
                <w:iCs/>
                <w:noProof/>
                <w:color w:val="000000" w:themeColor="text1"/>
              </w:rPr>
              <w:drawing>
                <wp:anchor distT="0" distB="0" distL="114300" distR="114300" simplePos="0" relativeHeight="251659264" behindDoc="0" locked="0" layoutInCell="1" allowOverlap="1" wp14:anchorId="63C7E6F9" wp14:editId="385F66C8">
                  <wp:simplePos x="0" y="0"/>
                  <wp:positionH relativeFrom="page">
                    <wp:posOffset>1521460</wp:posOffset>
                  </wp:positionH>
                  <wp:positionV relativeFrom="paragraph">
                    <wp:posOffset>9525</wp:posOffset>
                  </wp:positionV>
                  <wp:extent cx="3323590" cy="1724025"/>
                  <wp:effectExtent l="0" t="0" r="0" b="9525"/>
                  <wp:wrapSquare wrapText="bothSides"/>
                  <wp:docPr id="18" name="Imagen 18"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Tabla&#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3323590" cy="1724025"/>
                          </a:xfrm>
                          <a:prstGeom prst="rect">
                            <a:avLst/>
                          </a:prstGeom>
                        </pic:spPr>
                      </pic:pic>
                    </a:graphicData>
                  </a:graphic>
                  <wp14:sizeRelH relativeFrom="margin">
                    <wp14:pctWidth>0</wp14:pctWidth>
                  </wp14:sizeRelH>
                  <wp14:sizeRelV relativeFrom="margin">
                    <wp14:pctHeight>0</wp14:pctHeight>
                  </wp14:sizeRelV>
                </wp:anchor>
              </w:drawing>
            </w:r>
          </w:p>
          <w:p w14:paraId="6D0BD35D" w14:textId="7E5B7671" w:rsidR="00A56C14" w:rsidRPr="001929AD" w:rsidRDefault="00A56C14" w:rsidP="001929AD">
            <w:pPr>
              <w:pStyle w:val="Listavistosa-nfasis11"/>
              <w:spacing w:line="240" w:lineRule="auto"/>
              <w:ind w:left="494"/>
              <w:jc w:val="both"/>
              <w:rPr>
                <w:rFonts w:ascii="Arial" w:hAnsi="Arial" w:cs="Arial"/>
                <w:iCs/>
                <w:color w:val="000000" w:themeColor="text1"/>
              </w:rPr>
            </w:pPr>
          </w:p>
          <w:p w14:paraId="79B87AE3" w14:textId="77777777" w:rsidR="00A56C14" w:rsidRPr="001929AD" w:rsidRDefault="00A56C14" w:rsidP="001929AD">
            <w:pPr>
              <w:pStyle w:val="Listavistosa-nfasis11"/>
              <w:spacing w:line="240" w:lineRule="auto"/>
              <w:ind w:left="494"/>
              <w:jc w:val="both"/>
              <w:rPr>
                <w:rFonts w:ascii="Arial" w:hAnsi="Arial" w:cs="Arial"/>
                <w:iCs/>
                <w:color w:val="000000" w:themeColor="text1"/>
              </w:rPr>
            </w:pPr>
          </w:p>
          <w:p w14:paraId="354F4A15" w14:textId="77777777" w:rsidR="00A56C14" w:rsidRPr="001929AD" w:rsidRDefault="00A56C14" w:rsidP="001929AD">
            <w:pPr>
              <w:pStyle w:val="Listavistosa-nfasis11"/>
              <w:spacing w:line="240" w:lineRule="auto"/>
              <w:ind w:left="494"/>
              <w:jc w:val="both"/>
              <w:rPr>
                <w:rFonts w:ascii="Arial" w:hAnsi="Arial" w:cs="Arial"/>
                <w:iCs/>
                <w:color w:val="000000" w:themeColor="text1"/>
              </w:rPr>
            </w:pPr>
          </w:p>
          <w:p w14:paraId="3DD9C598" w14:textId="77777777" w:rsidR="00A56C14" w:rsidRPr="001929AD" w:rsidRDefault="00A56C14" w:rsidP="001929AD">
            <w:pPr>
              <w:pStyle w:val="Listavistosa-nfasis11"/>
              <w:spacing w:line="240" w:lineRule="auto"/>
              <w:ind w:left="494"/>
              <w:jc w:val="both"/>
              <w:rPr>
                <w:rFonts w:ascii="Arial" w:hAnsi="Arial" w:cs="Arial"/>
                <w:iCs/>
                <w:color w:val="000000" w:themeColor="text1"/>
              </w:rPr>
            </w:pPr>
          </w:p>
          <w:p w14:paraId="667E3A5F" w14:textId="77777777" w:rsidR="00A56C14" w:rsidRPr="001929AD" w:rsidRDefault="00A56C14" w:rsidP="001929AD">
            <w:pPr>
              <w:pStyle w:val="Listavistosa-nfasis11"/>
              <w:spacing w:line="240" w:lineRule="auto"/>
              <w:ind w:left="494"/>
              <w:jc w:val="both"/>
              <w:rPr>
                <w:rFonts w:ascii="Arial" w:hAnsi="Arial" w:cs="Arial"/>
                <w:iCs/>
                <w:color w:val="000000" w:themeColor="text1"/>
              </w:rPr>
            </w:pPr>
          </w:p>
          <w:p w14:paraId="13924CC5" w14:textId="77777777" w:rsidR="00A56C14" w:rsidRPr="001929AD" w:rsidRDefault="00A56C14" w:rsidP="001929AD">
            <w:pPr>
              <w:pStyle w:val="Listavistosa-nfasis11"/>
              <w:spacing w:line="240" w:lineRule="auto"/>
              <w:ind w:left="494"/>
              <w:jc w:val="both"/>
              <w:rPr>
                <w:rFonts w:ascii="Arial" w:hAnsi="Arial" w:cs="Arial"/>
                <w:iCs/>
                <w:color w:val="000000" w:themeColor="text1"/>
              </w:rPr>
            </w:pPr>
          </w:p>
          <w:p w14:paraId="6E97D783" w14:textId="77777777" w:rsidR="00A56C14" w:rsidRPr="001929AD" w:rsidRDefault="00A56C14" w:rsidP="001929AD">
            <w:pPr>
              <w:pStyle w:val="Listavistosa-nfasis11"/>
              <w:spacing w:line="240" w:lineRule="auto"/>
              <w:ind w:left="494"/>
              <w:jc w:val="both"/>
              <w:rPr>
                <w:rFonts w:ascii="Arial" w:hAnsi="Arial" w:cs="Arial"/>
                <w:iCs/>
                <w:color w:val="000000" w:themeColor="text1"/>
              </w:rPr>
            </w:pPr>
          </w:p>
          <w:p w14:paraId="5233B466" w14:textId="77777777" w:rsidR="00A56C14" w:rsidRPr="001929AD" w:rsidRDefault="00A56C14" w:rsidP="001929AD">
            <w:pPr>
              <w:pStyle w:val="Listavistosa-nfasis11"/>
              <w:spacing w:line="240" w:lineRule="auto"/>
              <w:ind w:left="494"/>
              <w:jc w:val="both"/>
              <w:rPr>
                <w:rFonts w:ascii="Arial" w:hAnsi="Arial" w:cs="Arial"/>
                <w:iCs/>
                <w:color w:val="000000" w:themeColor="text1"/>
              </w:rPr>
            </w:pPr>
          </w:p>
          <w:p w14:paraId="249C97FB" w14:textId="77777777" w:rsidR="00A56C14" w:rsidRPr="001929AD" w:rsidRDefault="00A56C14" w:rsidP="001929AD">
            <w:pPr>
              <w:pStyle w:val="Listavistosa-nfasis11"/>
              <w:spacing w:line="240" w:lineRule="auto"/>
              <w:ind w:left="494"/>
              <w:jc w:val="both"/>
              <w:rPr>
                <w:rFonts w:ascii="Arial" w:hAnsi="Arial" w:cs="Arial"/>
                <w:iCs/>
                <w:color w:val="000000" w:themeColor="text1"/>
              </w:rPr>
            </w:pPr>
          </w:p>
          <w:p w14:paraId="267F3361" w14:textId="77777777" w:rsidR="00A56C14" w:rsidRPr="001929AD" w:rsidRDefault="00A56C14" w:rsidP="001929AD">
            <w:pPr>
              <w:pStyle w:val="Listavistosa-nfasis11"/>
              <w:spacing w:line="240" w:lineRule="auto"/>
              <w:ind w:left="494"/>
              <w:jc w:val="both"/>
              <w:rPr>
                <w:rFonts w:ascii="Arial" w:hAnsi="Arial" w:cs="Arial"/>
                <w:iCs/>
                <w:color w:val="000000" w:themeColor="text1"/>
              </w:rPr>
            </w:pPr>
          </w:p>
          <w:p w14:paraId="447A62B7" w14:textId="77777777" w:rsidR="00A56C14" w:rsidRPr="001929AD" w:rsidRDefault="00A56C14" w:rsidP="001929AD">
            <w:pPr>
              <w:pStyle w:val="Listavistosa-nfasis11"/>
              <w:spacing w:line="240" w:lineRule="auto"/>
              <w:ind w:left="494"/>
              <w:jc w:val="both"/>
              <w:rPr>
                <w:rFonts w:ascii="Arial" w:hAnsi="Arial" w:cs="Arial"/>
                <w:iCs/>
                <w:color w:val="000000" w:themeColor="text1"/>
              </w:rPr>
            </w:pPr>
          </w:p>
          <w:p w14:paraId="78E2D6BE" w14:textId="39E94149" w:rsidR="00A56C14" w:rsidRPr="001929AD" w:rsidRDefault="00A56C14" w:rsidP="001929AD">
            <w:pPr>
              <w:pStyle w:val="Listavistosa-nfasis11"/>
              <w:spacing w:line="240" w:lineRule="auto"/>
              <w:ind w:left="494"/>
              <w:jc w:val="both"/>
              <w:rPr>
                <w:rFonts w:ascii="Arial" w:hAnsi="Arial" w:cs="Arial"/>
                <w:iCs/>
                <w:color w:val="000000" w:themeColor="text1"/>
              </w:rPr>
            </w:pPr>
            <w:r w:rsidRPr="001929AD">
              <w:rPr>
                <w:rFonts w:ascii="Arial" w:hAnsi="Arial" w:cs="Arial"/>
                <w:iCs/>
                <w:color w:val="000000" w:themeColor="text1"/>
              </w:rPr>
              <w:t>Fuente: Ministerio del Trabajo</w:t>
            </w:r>
          </w:p>
          <w:p w14:paraId="3155344E" w14:textId="77777777" w:rsidR="00A56C14" w:rsidRPr="001929AD" w:rsidRDefault="00A56C14" w:rsidP="001929AD">
            <w:pPr>
              <w:pStyle w:val="Listavistosa-nfasis11"/>
              <w:spacing w:line="240" w:lineRule="auto"/>
              <w:ind w:left="494"/>
              <w:jc w:val="both"/>
              <w:rPr>
                <w:rFonts w:ascii="Arial" w:hAnsi="Arial" w:cs="Arial"/>
                <w:iCs/>
                <w:color w:val="000000" w:themeColor="text1"/>
              </w:rPr>
            </w:pPr>
          </w:p>
          <w:p w14:paraId="7F63C7A1" w14:textId="77777777" w:rsidR="00A56C14" w:rsidRPr="001929AD" w:rsidRDefault="00A56C14" w:rsidP="001929AD">
            <w:pPr>
              <w:pStyle w:val="Listavistosa-nfasis11"/>
              <w:spacing w:line="240" w:lineRule="auto"/>
              <w:ind w:left="494"/>
              <w:jc w:val="both"/>
              <w:rPr>
                <w:rFonts w:ascii="Arial" w:hAnsi="Arial" w:cs="Arial"/>
                <w:iCs/>
                <w:color w:val="000000" w:themeColor="text1"/>
              </w:rPr>
            </w:pPr>
          </w:p>
          <w:p w14:paraId="3B1AD996" w14:textId="77777777" w:rsidR="00A56C14" w:rsidRPr="001929AD" w:rsidRDefault="00A56C14" w:rsidP="001929AD">
            <w:pPr>
              <w:pStyle w:val="Listavistosa-nfasis11"/>
              <w:spacing w:line="240" w:lineRule="auto"/>
              <w:ind w:left="494"/>
              <w:jc w:val="both"/>
              <w:rPr>
                <w:rFonts w:ascii="Arial" w:hAnsi="Arial" w:cs="Arial"/>
                <w:iCs/>
                <w:color w:val="000000" w:themeColor="text1"/>
              </w:rPr>
            </w:pPr>
            <w:r w:rsidRPr="001929AD">
              <w:rPr>
                <w:rFonts w:ascii="Arial" w:hAnsi="Arial" w:cs="Arial"/>
                <w:iCs/>
                <w:color w:val="000000" w:themeColor="text1"/>
              </w:rPr>
              <w:t xml:space="preserve">En el mes de julio de 2023, el número de personas ocupadas en el total nacional fue 23.182 miles de personas. Las ramas que más aportaron positivamente a la variación de la población ocupada fueron Construcción (1,1 puntos porcentuales); Actividades artísticas, entretenimiento recreación y otras </w:t>
            </w:r>
            <w:r w:rsidRPr="001929AD">
              <w:rPr>
                <w:rFonts w:ascii="Arial" w:hAnsi="Arial" w:cs="Arial"/>
                <w:iCs/>
                <w:color w:val="000000" w:themeColor="text1"/>
              </w:rPr>
              <w:lastRenderedPageBreak/>
              <w:t>actividades de servicios (1,0 puntos porcentuales) y Comercio y reparación de vehículos (0,8 puntos porcentuales).</w:t>
            </w:r>
          </w:p>
          <w:p w14:paraId="56A21432" w14:textId="77777777" w:rsidR="00A56C14" w:rsidRPr="001929AD" w:rsidRDefault="00A56C14" w:rsidP="001929AD">
            <w:pPr>
              <w:pStyle w:val="Listavistosa-nfasis11"/>
              <w:spacing w:line="240" w:lineRule="auto"/>
              <w:ind w:left="494"/>
              <w:jc w:val="both"/>
              <w:rPr>
                <w:rFonts w:ascii="Arial" w:hAnsi="Arial" w:cs="Arial"/>
                <w:iCs/>
                <w:color w:val="000000" w:themeColor="text1"/>
              </w:rPr>
            </w:pPr>
          </w:p>
          <w:p w14:paraId="42607BD9" w14:textId="77777777" w:rsidR="00AF7908" w:rsidRPr="001929AD" w:rsidRDefault="00AF7908" w:rsidP="001929AD">
            <w:pPr>
              <w:pStyle w:val="Listavistosa-nfasis11"/>
              <w:spacing w:line="240" w:lineRule="auto"/>
              <w:ind w:left="494"/>
              <w:jc w:val="both"/>
              <w:rPr>
                <w:rFonts w:ascii="Arial" w:hAnsi="Arial" w:cs="Arial"/>
                <w:iCs/>
                <w:color w:val="000000" w:themeColor="text1"/>
              </w:rPr>
            </w:pPr>
            <w:r w:rsidRPr="001929AD">
              <w:rPr>
                <w:rFonts w:ascii="Arial" w:hAnsi="Arial" w:cs="Arial"/>
                <w:iCs/>
                <w:color w:val="000000" w:themeColor="text1"/>
              </w:rPr>
              <w:t>Que la información señalada permite obtener las siguientes conclusiones:</w:t>
            </w:r>
          </w:p>
          <w:p w14:paraId="0A7C03C9" w14:textId="77777777" w:rsidR="00AF7908" w:rsidRPr="001929AD" w:rsidRDefault="00AF7908" w:rsidP="001929AD">
            <w:pPr>
              <w:pStyle w:val="Listavistosa-nfasis11"/>
              <w:spacing w:line="240" w:lineRule="auto"/>
              <w:ind w:left="494"/>
              <w:jc w:val="both"/>
              <w:rPr>
                <w:rFonts w:ascii="Arial" w:hAnsi="Arial" w:cs="Arial"/>
                <w:iCs/>
                <w:color w:val="000000" w:themeColor="text1"/>
              </w:rPr>
            </w:pPr>
          </w:p>
          <w:p w14:paraId="52A9E23A" w14:textId="75539AE2" w:rsidR="00AF7908" w:rsidRPr="001929AD" w:rsidRDefault="00AF7908" w:rsidP="001929AD">
            <w:pPr>
              <w:pStyle w:val="Listavistosa-nfasis11"/>
              <w:spacing w:line="240" w:lineRule="auto"/>
              <w:ind w:left="494"/>
              <w:jc w:val="both"/>
              <w:rPr>
                <w:rFonts w:ascii="Arial" w:hAnsi="Arial" w:cs="Arial"/>
                <w:iCs/>
                <w:color w:val="000000" w:themeColor="text1"/>
              </w:rPr>
            </w:pPr>
            <w:r w:rsidRPr="001929AD">
              <w:rPr>
                <w:rFonts w:ascii="Arial" w:hAnsi="Arial" w:cs="Arial"/>
                <w:iCs/>
                <w:color w:val="000000" w:themeColor="text1"/>
              </w:rPr>
              <w:t>1. Sectores empresariales beneficiados: El análisis de los sectores empresariales que más han solicitado el incentivo muestra una distribución diversa. Sectores como "Actividades de servicios administrativos y de apoyo" y "Comercio al por mayor y al por menor" son los más beneficiados en términos de empleo y recursos.</w:t>
            </w:r>
          </w:p>
          <w:p w14:paraId="5A58AB5A" w14:textId="77777777" w:rsidR="00AF7908" w:rsidRPr="001929AD" w:rsidRDefault="00AF7908" w:rsidP="001929AD">
            <w:pPr>
              <w:pStyle w:val="Listavistosa-nfasis11"/>
              <w:spacing w:line="240" w:lineRule="auto"/>
              <w:ind w:left="494"/>
              <w:jc w:val="both"/>
              <w:rPr>
                <w:rFonts w:ascii="Arial" w:hAnsi="Arial" w:cs="Arial"/>
                <w:iCs/>
                <w:color w:val="000000" w:themeColor="text1"/>
              </w:rPr>
            </w:pPr>
          </w:p>
          <w:p w14:paraId="16B28532" w14:textId="2AABB1A4" w:rsidR="00AF7908" w:rsidRPr="001929AD" w:rsidRDefault="00AF7908" w:rsidP="001929AD">
            <w:pPr>
              <w:pStyle w:val="Listavistosa-nfasis11"/>
              <w:spacing w:line="240" w:lineRule="auto"/>
              <w:ind w:left="494"/>
              <w:jc w:val="both"/>
              <w:rPr>
                <w:rFonts w:ascii="Arial" w:hAnsi="Arial" w:cs="Arial"/>
                <w:iCs/>
                <w:color w:val="000000" w:themeColor="text1"/>
              </w:rPr>
            </w:pPr>
            <w:r w:rsidRPr="001929AD">
              <w:rPr>
                <w:rFonts w:ascii="Arial" w:hAnsi="Arial" w:cs="Arial"/>
                <w:iCs/>
                <w:color w:val="000000" w:themeColor="text1"/>
              </w:rPr>
              <w:t>2. Tamaño de las empresas beneficiadas: Microempresas, pequeñas y medianas empresas representan la mayoría de los empleadores beneficiados. Sin embargo, las empresas más grandes han recibido los mayores desembolsos debido a su capacidad para generar empleo a gran escala.</w:t>
            </w:r>
          </w:p>
          <w:p w14:paraId="59AC9F69" w14:textId="77777777" w:rsidR="00AF7908" w:rsidRPr="001929AD" w:rsidRDefault="00AF7908" w:rsidP="001929AD">
            <w:pPr>
              <w:pStyle w:val="Listavistosa-nfasis11"/>
              <w:spacing w:line="240" w:lineRule="auto"/>
              <w:ind w:left="494"/>
              <w:jc w:val="both"/>
              <w:rPr>
                <w:rFonts w:ascii="Arial" w:hAnsi="Arial" w:cs="Arial"/>
                <w:iCs/>
                <w:color w:val="000000" w:themeColor="text1"/>
              </w:rPr>
            </w:pPr>
          </w:p>
          <w:p w14:paraId="4E6C6D97" w14:textId="53CF358A" w:rsidR="00AF7908" w:rsidRPr="001929AD" w:rsidRDefault="00AF7908" w:rsidP="001929AD">
            <w:pPr>
              <w:pStyle w:val="Listavistosa-nfasis11"/>
              <w:spacing w:line="240" w:lineRule="auto"/>
              <w:ind w:left="494"/>
              <w:jc w:val="both"/>
              <w:rPr>
                <w:rFonts w:ascii="Arial" w:hAnsi="Arial" w:cs="Arial"/>
                <w:iCs/>
                <w:color w:val="000000" w:themeColor="text1"/>
              </w:rPr>
            </w:pPr>
            <w:r w:rsidRPr="001929AD">
              <w:rPr>
                <w:rFonts w:ascii="Arial" w:hAnsi="Arial" w:cs="Arial"/>
                <w:iCs/>
                <w:color w:val="000000" w:themeColor="text1"/>
              </w:rPr>
              <w:t>3. Generación de Empleo: La política ha generado un impacto significativo en la creación de empleo. En general, ha resultado en la generación de más de 798,000 nuevos empleos desde septiembre de 2021 a junio de 2023, lo que es un logro importante.</w:t>
            </w:r>
          </w:p>
          <w:p w14:paraId="30B509A8" w14:textId="77777777" w:rsidR="00AF7908" w:rsidRPr="001929AD" w:rsidRDefault="00AF7908" w:rsidP="001929AD">
            <w:pPr>
              <w:pStyle w:val="Listavistosa-nfasis11"/>
              <w:spacing w:line="240" w:lineRule="auto"/>
              <w:ind w:left="494"/>
              <w:jc w:val="both"/>
              <w:rPr>
                <w:rFonts w:ascii="Arial" w:hAnsi="Arial" w:cs="Arial"/>
                <w:iCs/>
                <w:color w:val="000000" w:themeColor="text1"/>
              </w:rPr>
            </w:pPr>
          </w:p>
          <w:p w14:paraId="2C4036AB" w14:textId="4378276A" w:rsidR="00AF7908" w:rsidRPr="001929AD" w:rsidRDefault="00AF7908" w:rsidP="001929AD">
            <w:pPr>
              <w:pStyle w:val="Listavistosa-nfasis11"/>
              <w:spacing w:line="240" w:lineRule="auto"/>
              <w:ind w:left="494"/>
              <w:jc w:val="both"/>
              <w:rPr>
                <w:rFonts w:ascii="Arial" w:hAnsi="Arial" w:cs="Arial"/>
                <w:iCs/>
                <w:color w:val="000000" w:themeColor="text1"/>
              </w:rPr>
            </w:pPr>
            <w:r w:rsidRPr="001929AD">
              <w:rPr>
                <w:rFonts w:ascii="Arial" w:hAnsi="Arial" w:cs="Arial"/>
                <w:iCs/>
                <w:color w:val="000000" w:themeColor="text1"/>
              </w:rPr>
              <w:t>4. Distribución Demográfica: La política ha sido efectiva en la inclusión de grupos demográficos clave. Ha creado empleos tanto para jóvenes como para mujeres mayores de 28 años y hombres mayores de 28 años. Los empleos generados se distribuyen entre jóvenes, mujeres mayores de 28 años y hombres mayores de 28 años. La mayor cantidad de empleos se generó para jóvenes, lo que contribuye a abordar el desafío del desempleo juvenil.</w:t>
            </w:r>
          </w:p>
          <w:p w14:paraId="367E0049" w14:textId="77777777" w:rsidR="00AF7908" w:rsidRPr="001929AD" w:rsidRDefault="00AF7908" w:rsidP="001929AD">
            <w:pPr>
              <w:pStyle w:val="Listavistosa-nfasis11"/>
              <w:spacing w:line="240" w:lineRule="auto"/>
              <w:ind w:left="494"/>
              <w:jc w:val="both"/>
              <w:rPr>
                <w:rFonts w:ascii="Arial" w:hAnsi="Arial" w:cs="Arial"/>
                <w:iCs/>
                <w:color w:val="000000" w:themeColor="text1"/>
              </w:rPr>
            </w:pPr>
          </w:p>
          <w:p w14:paraId="1ADDB2E9" w14:textId="7E0A44B8" w:rsidR="00AF7908" w:rsidRPr="001929AD" w:rsidRDefault="00AF7908" w:rsidP="001929AD">
            <w:pPr>
              <w:pStyle w:val="Listavistosa-nfasis11"/>
              <w:spacing w:line="240" w:lineRule="auto"/>
              <w:ind w:left="494"/>
              <w:jc w:val="both"/>
              <w:rPr>
                <w:rFonts w:ascii="Arial" w:hAnsi="Arial" w:cs="Arial"/>
                <w:iCs/>
                <w:color w:val="000000" w:themeColor="text1"/>
              </w:rPr>
            </w:pPr>
            <w:r w:rsidRPr="001929AD">
              <w:rPr>
                <w:rFonts w:ascii="Arial" w:hAnsi="Arial" w:cs="Arial"/>
                <w:iCs/>
                <w:color w:val="000000" w:themeColor="text1"/>
              </w:rPr>
              <w:t>5. Aumento de la Tasa de Ocupación (TO): La TO ha experimentado un aumento constante desde 2020, con un aumento notable en 2023. Esto sugiere que la política ha contribuido a mejorar la ocupación laboral en el país.</w:t>
            </w:r>
          </w:p>
          <w:p w14:paraId="46254593" w14:textId="77777777" w:rsidR="00AF7908" w:rsidRPr="001929AD" w:rsidRDefault="00AF7908" w:rsidP="001929AD">
            <w:pPr>
              <w:pStyle w:val="Listavistosa-nfasis11"/>
              <w:spacing w:line="240" w:lineRule="auto"/>
              <w:ind w:left="494"/>
              <w:jc w:val="both"/>
              <w:rPr>
                <w:rFonts w:ascii="Arial" w:hAnsi="Arial" w:cs="Arial"/>
                <w:iCs/>
                <w:color w:val="000000" w:themeColor="text1"/>
              </w:rPr>
            </w:pPr>
          </w:p>
          <w:p w14:paraId="1EEAE355" w14:textId="43323C81" w:rsidR="00AF7908" w:rsidRPr="001929AD" w:rsidRDefault="00AF7908" w:rsidP="001929AD">
            <w:pPr>
              <w:pStyle w:val="Listavistosa-nfasis11"/>
              <w:spacing w:line="240" w:lineRule="auto"/>
              <w:ind w:left="494"/>
              <w:jc w:val="both"/>
              <w:rPr>
                <w:rFonts w:ascii="Arial" w:hAnsi="Arial" w:cs="Arial"/>
                <w:iCs/>
                <w:color w:val="000000" w:themeColor="text1"/>
              </w:rPr>
            </w:pPr>
            <w:r w:rsidRPr="001929AD">
              <w:rPr>
                <w:rFonts w:ascii="Arial" w:hAnsi="Arial" w:cs="Arial"/>
                <w:iCs/>
                <w:color w:val="000000" w:themeColor="text1"/>
              </w:rPr>
              <w:t>6. Contribución de Sectores a la Tasa de Ocupación: Los sectores de Construcción, Actividades artísticas, entretenimiento recreación y otras actividades de servicios, y Comercio y reparación de vehículos han tenido un impacto positivo en el aumento de la TO.</w:t>
            </w:r>
          </w:p>
          <w:p w14:paraId="341FFFEF" w14:textId="77777777" w:rsidR="00AF7908" w:rsidRPr="001929AD" w:rsidRDefault="00AF7908" w:rsidP="001929AD">
            <w:pPr>
              <w:pStyle w:val="Listavistosa-nfasis11"/>
              <w:spacing w:line="240" w:lineRule="auto"/>
              <w:ind w:left="494"/>
              <w:jc w:val="both"/>
              <w:rPr>
                <w:rFonts w:ascii="Arial" w:hAnsi="Arial" w:cs="Arial"/>
                <w:iCs/>
                <w:color w:val="000000" w:themeColor="text1"/>
              </w:rPr>
            </w:pPr>
          </w:p>
          <w:p w14:paraId="64537EB8" w14:textId="77777777" w:rsidR="00A56C14" w:rsidRPr="001929AD" w:rsidRDefault="00AF7908" w:rsidP="001929AD">
            <w:pPr>
              <w:pStyle w:val="Listavistosa-nfasis11"/>
              <w:spacing w:line="240" w:lineRule="auto"/>
              <w:ind w:left="494"/>
              <w:jc w:val="both"/>
              <w:rPr>
                <w:rFonts w:ascii="Arial" w:hAnsi="Arial" w:cs="Arial"/>
                <w:iCs/>
                <w:color w:val="000000" w:themeColor="text1"/>
              </w:rPr>
            </w:pPr>
            <w:r w:rsidRPr="001929AD">
              <w:rPr>
                <w:rFonts w:ascii="Arial" w:hAnsi="Arial" w:cs="Arial"/>
                <w:iCs/>
                <w:color w:val="000000" w:themeColor="text1"/>
              </w:rPr>
              <w:t>7. Promoción de la generación de nuevos empleos: Dado que la construcción es una de las ramas de actividad que más ha contribuido al aumento de la TO y ha sido beneficiaria del incentivo, esto sugiere que el programa de generación de nuevos empleos ha sido eficaz en promover el empleo en sectores específicos.</w:t>
            </w:r>
          </w:p>
          <w:p w14:paraId="65C565FC" w14:textId="77777777" w:rsidR="00AF7908" w:rsidRPr="001929AD" w:rsidRDefault="00AF7908" w:rsidP="001929AD">
            <w:pPr>
              <w:pStyle w:val="Listavistosa-nfasis11"/>
              <w:spacing w:line="240" w:lineRule="auto"/>
              <w:ind w:left="494"/>
              <w:jc w:val="both"/>
              <w:rPr>
                <w:rFonts w:ascii="Arial" w:hAnsi="Arial" w:cs="Arial"/>
                <w:iCs/>
                <w:color w:val="000000" w:themeColor="text1"/>
              </w:rPr>
            </w:pPr>
          </w:p>
          <w:p w14:paraId="29D10991" w14:textId="40FAD012" w:rsidR="00AF7908" w:rsidRPr="001929AD" w:rsidRDefault="001929AD" w:rsidP="001929AD">
            <w:pPr>
              <w:pStyle w:val="Listavistosa-nfasis11"/>
              <w:spacing w:line="240" w:lineRule="auto"/>
              <w:ind w:left="494"/>
              <w:jc w:val="both"/>
              <w:rPr>
                <w:rFonts w:ascii="Arial" w:hAnsi="Arial" w:cs="Arial"/>
                <w:iCs/>
                <w:color w:val="000000" w:themeColor="text1"/>
              </w:rPr>
            </w:pPr>
            <w:r w:rsidRPr="001929AD">
              <w:rPr>
                <w:rFonts w:ascii="Arial" w:hAnsi="Arial" w:cs="Arial"/>
                <w:iCs/>
                <w:color w:val="000000" w:themeColor="text1"/>
              </w:rPr>
              <w:t>L</w:t>
            </w:r>
            <w:r w:rsidR="00AF7908" w:rsidRPr="001929AD">
              <w:rPr>
                <w:rFonts w:ascii="Arial" w:hAnsi="Arial" w:cs="Arial"/>
                <w:iCs/>
                <w:color w:val="000000" w:themeColor="text1"/>
              </w:rPr>
              <w:t xml:space="preserve">os </w:t>
            </w:r>
            <w:r w:rsidRPr="001929AD">
              <w:rPr>
                <w:rFonts w:ascii="Arial" w:hAnsi="Arial" w:cs="Arial"/>
                <w:iCs/>
                <w:color w:val="000000" w:themeColor="text1"/>
              </w:rPr>
              <w:t xml:space="preserve">anteriores </w:t>
            </w:r>
            <w:r w:rsidR="00AF7908" w:rsidRPr="001929AD">
              <w:rPr>
                <w:rFonts w:ascii="Arial" w:hAnsi="Arial" w:cs="Arial"/>
                <w:iCs/>
                <w:color w:val="000000" w:themeColor="text1"/>
              </w:rPr>
              <w:t>datos indican que la aplicación del incentivo ha contribuido a la generación de empleo y la mejora de la tasa de ocupación en Colombia. Ha beneficiado a una amplia gama de sectores y grupos demográficos, lo que respalda sus objetivos de fomentar el empleo formal y reducir el desempleo.</w:t>
            </w:r>
          </w:p>
          <w:p w14:paraId="5368CDFA" w14:textId="77777777" w:rsidR="00AF7908" w:rsidRPr="001929AD" w:rsidRDefault="00AF7908" w:rsidP="001929AD">
            <w:pPr>
              <w:pStyle w:val="Listavistosa-nfasis11"/>
              <w:spacing w:line="240" w:lineRule="auto"/>
              <w:ind w:left="494"/>
              <w:jc w:val="both"/>
              <w:rPr>
                <w:rFonts w:ascii="Arial" w:hAnsi="Arial" w:cs="Arial"/>
                <w:iCs/>
                <w:color w:val="000000" w:themeColor="text1"/>
              </w:rPr>
            </w:pPr>
          </w:p>
          <w:p w14:paraId="76B2C28A" w14:textId="45DE1513" w:rsidR="00AF7908" w:rsidRPr="001929AD" w:rsidRDefault="001929AD" w:rsidP="001929AD">
            <w:pPr>
              <w:pStyle w:val="Listavistosa-nfasis11"/>
              <w:spacing w:line="240" w:lineRule="auto"/>
              <w:ind w:left="494"/>
              <w:jc w:val="both"/>
              <w:rPr>
                <w:rFonts w:ascii="Arial" w:hAnsi="Arial" w:cs="Arial"/>
                <w:iCs/>
                <w:color w:val="000000" w:themeColor="text1"/>
              </w:rPr>
            </w:pPr>
            <w:r w:rsidRPr="001929AD">
              <w:rPr>
                <w:rFonts w:ascii="Arial" w:hAnsi="Arial" w:cs="Arial"/>
                <w:iCs/>
                <w:color w:val="000000" w:themeColor="text1"/>
              </w:rPr>
              <w:t>L</w:t>
            </w:r>
            <w:r w:rsidR="00AF7908" w:rsidRPr="001929AD">
              <w:rPr>
                <w:rFonts w:ascii="Arial" w:hAnsi="Arial" w:cs="Arial"/>
                <w:iCs/>
                <w:color w:val="000000" w:themeColor="text1"/>
              </w:rPr>
              <w:t>a creación de empleo no solo impacta la economía sino también la calidad de vida de las personas y sus familias al proporcionar ingresos y estabilidad laboral. La distribución de empleos entre diferentes grupos demográficos contribuye a la igualdad de oportunidades.</w:t>
            </w:r>
          </w:p>
          <w:p w14:paraId="42DE165A" w14:textId="77777777" w:rsidR="00AF7908" w:rsidRPr="001929AD" w:rsidRDefault="00AF7908" w:rsidP="001929AD">
            <w:pPr>
              <w:pStyle w:val="Listavistosa-nfasis11"/>
              <w:spacing w:line="240" w:lineRule="auto"/>
              <w:ind w:left="494"/>
              <w:jc w:val="both"/>
              <w:rPr>
                <w:rFonts w:ascii="Arial" w:hAnsi="Arial" w:cs="Arial"/>
                <w:iCs/>
                <w:color w:val="000000" w:themeColor="text1"/>
              </w:rPr>
            </w:pPr>
          </w:p>
          <w:p w14:paraId="5D0C5C07" w14:textId="32433BAE" w:rsidR="00AF7908" w:rsidRPr="001929AD" w:rsidRDefault="001929AD" w:rsidP="001929AD">
            <w:pPr>
              <w:pStyle w:val="Listavistosa-nfasis11"/>
              <w:spacing w:line="240" w:lineRule="auto"/>
              <w:ind w:left="494"/>
              <w:jc w:val="both"/>
              <w:rPr>
                <w:rFonts w:ascii="Arial" w:hAnsi="Arial" w:cs="Arial"/>
                <w:iCs/>
                <w:color w:val="000000" w:themeColor="text1"/>
              </w:rPr>
            </w:pPr>
            <w:r w:rsidRPr="001929AD">
              <w:rPr>
                <w:rFonts w:ascii="Arial" w:hAnsi="Arial" w:cs="Arial"/>
                <w:iCs/>
                <w:color w:val="000000" w:themeColor="text1"/>
              </w:rPr>
              <w:t>L</w:t>
            </w:r>
            <w:r w:rsidR="00AF7908" w:rsidRPr="001929AD">
              <w:rPr>
                <w:rFonts w:ascii="Arial" w:hAnsi="Arial" w:cs="Arial"/>
                <w:iCs/>
                <w:color w:val="000000" w:themeColor="text1"/>
              </w:rPr>
              <w:t>a evaluación de los indicadores de desempleo ha revelado una tendencia positiva desde la implementación del programa. La tasa ha disminuido de manera considerable, lo que sugiere que el programa ha tenido un impacto directo en la absorción de mano de obra en el mercado laboral.</w:t>
            </w:r>
          </w:p>
          <w:p w14:paraId="3E335082" w14:textId="77777777" w:rsidR="00AF7908" w:rsidRPr="001929AD" w:rsidRDefault="00AF7908" w:rsidP="001929AD">
            <w:pPr>
              <w:pStyle w:val="Listavistosa-nfasis11"/>
              <w:spacing w:line="240" w:lineRule="auto"/>
              <w:ind w:left="494"/>
              <w:jc w:val="both"/>
              <w:rPr>
                <w:rFonts w:ascii="Arial" w:hAnsi="Arial" w:cs="Arial"/>
                <w:iCs/>
                <w:color w:val="000000" w:themeColor="text1"/>
              </w:rPr>
            </w:pPr>
          </w:p>
          <w:p w14:paraId="51A46E81" w14:textId="2B95C0C5" w:rsidR="00AF7908" w:rsidRPr="001929AD" w:rsidRDefault="001929AD" w:rsidP="001929AD">
            <w:pPr>
              <w:pStyle w:val="Listavistosa-nfasis11"/>
              <w:spacing w:line="240" w:lineRule="auto"/>
              <w:ind w:left="494"/>
              <w:jc w:val="both"/>
              <w:rPr>
                <w:rFonts w:ascii="Arial" w:hAnsi="Arial" w:cs="Arial"/>
                <w:iCs/>
                <w:color w:val="000000" w:themeColor="text1"/>
              </w:rPr>
            </w:pPr>
            <w:r w:rsidRPr="001929AD">
              <w:rPr>
                <w:rFonts w:ascii="Arial" w:hAnsi="Arial" w:cs="Arial"/>
                <w:iCs/>
                <w:color w:val="000000" w:themeColor="text1"/>
              </w:rPr>
              <w:t xml:space="preserve">No obstante la </w:t>
            </w:r>
            <w:r w:rsidR="00AF7908" w:rsidRPr="001929AD">
              <w:rPr>
                <w:rFonts w:ascii="Arial" w:hAnsi="Arial" w:cs="Arial"/>
                <w:iCs/>
                <w:color w:val="000000" w:themeColor="text1"/>
              </w:rPr>
              <w:t xml:space="preserve">mejoría en la evolución del </w:t>
            </w:r>
            <w:r w:rsidRPr="001929AD">
              <w:rPr>
                <w:rFonts w:ascii="Arial" w:hAnsi="Arial" w:cs="Arial"/>
                <w:iCs/>
                <w:color w:val="000000" w:themeColor="text1"/>
              </w:rPr>
              <w:t>desempleo</w:t>
            </w:r>
            <w:r w:rsidR="00AF7908" w:rsidRPr="001929AD">
              <w:rPr>
                <w:rFonts w:ascii="Arial" w:hAnsi="Arial" w:cs="Arial"/>
                <w:iCs/>
                <w:color w:val="000000" w:themeColor="text1"/>
              </w:rPr>
              <w:t xml:space="preserve"> aún persiste la necesidad de intervenir el mercado laboral para generar empleo en los distintos sectores económicos y grupos poblacionales que presentan las mayores tasas de desempleo.</w:t>
            </w:r>
          </w:p>
          <w:p w14:paraId="2C303E8E" w14:textId="77777777" w:rsidR="00AF7908" w:rsidRPr="001929AD" w:rsidRDefault="00AF7908" w:rsidP="001929AD">
            <w:pPr>
              <w:pStyle w:val="Listavistosa-nfasis11"/>
              <w:spacing w:line="240" w:lineRule="auto"/>
              <w:ind w:left="494"/>
              <w:jc w:val="both"/>
              <w:rPr>
                <w:rFonts w:ascii="Arial" w:hAnsi="Arial" w:cs="Arial"/>
                <w:iCs/>
                <w:color w:val="000000" w:themeColor="text1"/>
              </w:rPr>
            </w:pPr>
          </w:p>
          <w:p w14:paraId="1D68298F" w14:textId="77777777" w:rsidR="00AF7908" w:rsidRDefault="001929AD" w:rsidP="001929AD">
            <w:pPr>
              <w:pStyle w:val="Listavistosa-nfasis11"/>
              <w:spacing w:line="240" w:lineRule="auto"/>
              <w:ind w:left="494"/>
              <w:jc w:val="both"/>
              <w:rPr>
                <w:rFonts w:ascii="Arial" w:hAnsi="Arial" w:cs="Arial"/>
                <w:iCs/>
                <w:color w:val="000000" w:themeColor="text1"/>
              </w:rPr>
            </w:pPr>
            <w:r w:rsidRPr="001929AD">
              <w:rPr>
                <w:rFonts w:ascii="Arial" w:hAnsi="Arial" w:cs="Arial"/>
                <w:iCs/>
                <w:color w:val="000000" w:themeColor="text1"/>
              </w:rPr>
              <w:t>Por lo tanto, estos datos y cifras</w:t>
            </w:r>
            <w:r w:rsidR="00AF7908" w:rsidRPr="001929AD">
              <w:rPr>
                <w:rFonts w:ascii="Arial" w:hAnsi="Arial" w:cs="Arial"/>
                <w:iCs/>
                <w:color w:val="000000" w:themeColor="text1"/>
              </w:rPr>
              <w:t xml:space="preserve"> permiten justificar el rediseño de los requisitos de acceso y permanencia para el reconocimiento del Incentivo a la creación y Permanencia de Nuevos Empleos Formales establecido en el artículo 79 de la Ley 2294 de 2023, tales como la fecha de referencia indicada en el parágrafo 2 del artículo 24 de la Ley 2155 de 2021, así como las poblaciones beneficiarias, los montos y mecanismos para otorgar el incentivo y los demás aspectos necesarios para su implementación.</w:t>
            </w:r>
          </w:p>
          <w:p w14:paraId="1AE0DBFF" w14:textId="77777777" w:rsidR="00327A2B" w:rsidRDefault="00327A2B" w:rsidP="001929AD">
            <w:pPr>
              <w:pStyle w:val="Listavistosa-nfasis11"/>
              <w:spacing w:line="240" w:lineRule="auto"/>
              <w:ind w:left="494"/>
              <w:jc w:val="both"/>
              <w:rPr>
                <w:rFonts w:ascii="Arial" w:hAnsi="Arial" w:cs="Arial"/>
                <w:iCs/>
                <w:color w:val="000000" w:themeColor="text1"/>
              </w:rPr>
            </w:pPr>
          </w:p>
          <w:p w14:paraId="2B773B9F" w14:textId="77777777" w:rsidR="00327A2B" w:rsidRPr="00327A2B" w:rsidRDefault="00327A2B" w:rsidP="00327A2B">
            <w:pPr>
              <w:pStyle w:val="Listavistosa-nfasis11"/>
              <w:ind w:left="494"/>
              <w:jc w:val="both"/>
              <w:rPr>
                <w:rFonts w:ascii="Arial" w:hAnsi="Arial" w:cs="Arial"/>
                <w:iCs/>
                <w:color w:val="000000" w:themeColor="text1"/>
              </w:rPr>
            </w:pPr>
            <w:r w:rsidRPr="00327A2B">
              <w:rPr>
                <w:rFonts w:ascii="Arial" w:hAnsi="Arial" w:cs="Arial"/>
                <w:iCs/>
                <w:color w:val="000000" w:themeColor="text1"/>
              </w:rPr>
              <w:t>Por otra parte, debe tenerse en cuenta que la Unidad del Servicio Público de Empleo cuenta con un Sistema de Información denominado – SISE- el cual es enriquecido con información de los propios empleadores, y sirve para adelantar la gestión de las vacantes que publican los prestadores de servicios de gestión y colocación de empleo, con el fin de facilitar a los empleadores la búsqueda e identificación de los perfiles que buscan para proveer dichas vacantes, de allí se pueden tomar datos para soportar la necesidad de implementar beneficios económicos dirigidos a los empleadores, como el Incentivo a la Creación y Permanencia de Nuevos Empleos Formales contemplado en el artículo 79 de la Ley 2294 de 2023.</w:t>
            </w:r>
          </w:p>
          <w:p w14:paraId="183706A6" w14:textId="77777777" w:rsidR="00327A2B" w:rsidRPr="00327A2B" w:rsidRDefault="00327A2B" w:rsidP="00327A2B">
            <w:pPr>
              <w:pStyle w:val="Listavistosa-nfasis11"/>
              <w:ind w:left="494"/>
              <w:jc w:val="both"/>
              <w:rPr>
                <w:rFonts w:ascii="Arial" w:hAnsi="Arial" w:cs="Arial"/>
                <w:iCs/>
                <w:color w:val="000000" w:themeColor="text1"/>
              </w:rPr>
            </w:pPr>
          </w:p>
          <w:p w14:paraId="1206D783" w14:textId="77777777" w:rsidR="00327A2B" w:rsidRPr="00327A2B" w:rsidRDefault="00327A2B" w:rsidP="00327A2B">
            <w:pPr>
              <w:pStyle w:val="Listavistosa-nfasis11"/>
              <w:ind w:left="494"/>
              <w:jc w:val="both"/>
              <w:rPr>
                <w:rFonts w:ascii="Arial" w:hAnsi="Arial" w:cs="Arial"/>
                <w:iCs/>
                <w:color w:val="000000" w:themeColor="text1"/>
              </w:rPr>
            </w:pPr>
            <w:r w:rsidRPr="00327A2B">
              <w:rPr>
                <w:rFonts w:ascii="Arial" w:hAnsi="Arial" w:cs="Arial"/>
                <w:iCs/>
                <w:color w:val="000000" w:themeColor="text1"/>
              </w:rPr>
              <w:t xml:space="preserve">De acuerdo con el Boletín del SISE del mes de junio de 2023, donde se analiza el comportamiento de la demanda laboral sobre distintas dimensiones: sector, ocupación, educación, experiencia y salarios, los sectores con mayor representación e incidencia en la variación negativa de la demanda laboral con respecto al mismo mes del año 2022 fueron: actividades de servicios administrativos y de apoyo e información y comunicaciones, los cuales han tenido los mayores porcentajes de disminución de sus ofertas de empleo en relación con el mismo mes en 2022, esta variación fue de 13,5 %, y 34,7 % respectivamente. </w:t>
            </w:r>
          </w:p>
          <w:p w14:paraId="2B8681D3" w14:textId="77777777" w:rsidR="00327A2B" w:rsidRPr="00327A2B" w:rsidRDefault="00327A2B" w:rsidP="00327A2B">
            <w:pPr>
              <w:pStyle w:val="Listavistosa-nfasis11"/>
              <w:ind w:left="494"/>
              <w:jc w:val="both"/>
              <w:rPr>
                <w:rFonts w:ascii="Arial" w:hAnsi="Arial" w:cs="Arial"/>
                <w:iCs/>
                <w:color w:val="000000" w:themeColor="text1"/>
              </w:rPr>
            </w:pPr>
          </w:p>
          <w:p w14:paraId="622F4F32" w14:textId="77777777" w:rsidR="00327A2B" w:rsidRPr="00327A2B" w:rsidRDefault="00327A2B" w:rsidP="00327A2B">
            <w:pPr>
              <w:pStyle w:val="Listavistosa-nfasis11"/>
              <w:ind w:left="494"/>
              <w:jc w:val="both"/>
              <w:rPr>
                <w:rFonts w:ascii="Arial" w:hAnsi="Arial" w:cs="Arial"/>
                <w:iCs/>
                <w:color w:val="000000" w:themeColor="text1"/>
              </w:rPr>
            </w:pPr>
            <w:r w:rsidRPr="00327A2B">
              <w:rPr>
                <w:rFonts w:ascii="Arial" w:hAnsi="Arial" w:cs="Arial"/>
                <w:iCs/>
                <w:color w:val="000000" w:themeColor="text1"/>
              </w:rPr>
              <w:t>En cuanto a grupos poblacionales, cinco grupos representan el 74,7 % de la demanda laboral. En primer lugar, se encuentran las ofertas de empleo para trabajadores de los servicios y vendedores de comercios y mercados, las cuales tuvieron un peso del 20,7 % en el total, con una variación de -2,0 % en su demanda laboral entre junio de 2023 y junio de 2022 y 1,3 % en su participación, pasando de 19,4 % a 20,7 %. El segundo y tercer puesto en importancia lo ocupan los profesionales, científicos e intelectuales y el personal de apoyo administrativo, los cuales tuvieron una participación del 17,5 % y 17,4 % respectivamente, con una variación de -9,0 % y -12,9 % en su demanda laboral. Los técnicos y profesionales de nivel medio y oficiales, operarios, artesanos y oficios relacionados, ocupan los siguientes dos lugares entre las cinco ocupaciones de mayor participación en el total de ofertas de empleo registradas en junio de 2023, representando los dos un 19,1 % del total.</w:t>
            </w:r>
          </w:p>
          <w:p w14:paraId="4BFE1F4F" w14:textId="77777777" w:rsidR="00327A2B" w:rsidRPr="00327A2B" w:rsidRDefault="00327A2B" w:rsidP="00327A2B">
            <w:pPr>
              <w:pStyle w:val="Listavistosa-nfasis11"/>
              <w:ind w:left="494"/>
              <w:jc w:val="both"/>
              <w:rPr>
                <w:rFonts w:ascii="Arial" w:hAnsi="Arial" w:cs="Arial"/>
                <w:iCs/>
                <w:color w:val="000000" w:themeColor="text1"/>
              </w:rPr>
            </w:pPr>
          </w:p>
          <w:p w14:paraId="6F03F3FC" w14:textId="77777777" w:rsidR="00327A2B" w:rsidRPr="00327A2B" w:rsidRDefault="00327A2B" w:rsidP="00327A2B">
            <w:pPr>
              <w:pStyle w:val="Listavistosa-nfasis11"/>
              <w:ind w:left="494"/>
              <w:jc w:val="both"/>
              <w:rPr>
                <w:rFonts w:ascii="Arial" w:hAnsi="Arial" w:cs="Arial"/>
                <w:iCs/>
                <w:color w:val="000000" w:themeColor="text1"/>
              </w:rPr>
            </w:pPr>
            <w:r w:rsidRPr="00327A2B">
              <w:rPr>
                <w:rFonts w:ascii="Arial" w:hAnsi="Arial" w:cs="Arial"/>
                <w:iCs/>
                <w:color w:val="000000" w:themeColor="text1"/>
              </w:rPr>
              <w:t xml:space="preserve">Si se revisa la demanda laboral por nivel educativo, las ofertas de empleo que son para personas con un nivel educativo bachillerato, grupo con el 27,7 % de la demanda en junio de 2023 y una variación del -21,4 % entre junio de 2023 y el mismo mes de 2022; seguido del nivel educativo universitario que concentra el 21,3 % del total y muestra una variación del -10,3%. Las ofertas de empleo para personas </w:t>
            </w:r>
            <w:r w:rsidRPr="00327A2B">
              <w:rPr>
                <w:rFonts w:ascii="Arial" w:hAnsi="Arial" w:cs="Arial"/>
                <w:iCs/>
                <w:color w:val="000000" w:themeColor="text1"/>
              </w:rPr>
              <w:lastRenderedPageBreak/>
              <w:t>con carreras técnicas presentaron una variación en su demanda laboral del -9,3 % entre junio de 2023 y 2022, con una participación en el total de 19,8 %. Para el mes de junio de 2023, los niveles con mayor demanda suman el 68,8 % del total de ofertas de empleo registradas: bachillerato (27,7 %), universitario (21,3 %) y técnica (19,8 %). Todas las categorías de niveles educativos presentaron contracción en su demanda laboral, a excepción de los niveles de maestría y doctorado que son los de menor representación en el total de la demanda laboral, 0,3 % y 0,1 % respectivamente.</w:t>
            </w:r>
          </w:p>
          <w:p w14:paraId="05B40608" w14:textId="77777777" w:rsidR="00327A2B" w:rsidRPr="00327A2B" w:rsidRDefault="00327A2B" w:rsidP="00327A2B">
            <w:pPr>
              <w:pStyle w:val="Listavistosa-nfasis11"/>
              <w:ind w:left="494"/>
              <w:jc w:val="both"/>
              <w:rPr>
                <w:rFonts w:ascii="Arial" w:hAnsi="Arial" w:cs="Arial"/>
                <w:iCs/>
                <w:color w:val="000000" w:themeColor="text1"/>
              </w:rPr>
            </w:pPr>
          </w:p>
          <w:p w14:paraId="66582191" w14:textId="77777777" w:rsidR="00327A2B" w:rsidRPr="00327A2B" w:rsidRDefault="00327A2B" w:rsidP="00327A2B">
            <w:pPr>
              <w:pStyle w:val="Listavistosa-nfasis11"/>
              <w:ind w:left="494"/>
              <w:jc w:val="both"/>
              <w:rPr>
                <w:rFonts w:ascii="Arial" w:hAnsi="Arial" w:cs="Arial"/>
                <w:iCs/>
                <w:color w:val="000000" w:themeColor="text1"/>
              </w:rPr>
            </w:pPr>
            <w:r w:rsidRPr="00327A2B">
              <w:rPr>
                <w:rFonts w:ascii="Arial" w:hAnsi="Arial" w:cs="Arial"/>
                <w:iCs/>
                <w:color w:val="000000" w:themeColor="text1"/>
              </w:rPr>
              <w:t>Ahora bien, respecto de la demanda laboral por rangos salariales, dicho Boletín reporta que la mayoría de las categorías presentan variaciones negativas en su demanda laboral frente al mismo mes del año inmediatamente anterior, a excepción de aquellas que ofrecen menos de 800 mil COP, entre 1 y 1,5 millones de COP, 2 a 3 millones de COP, 6 a 8 millones de COP y 10 a 12 millones de COP. Los rangos que más concentran ofertas de empleo, con el 63,5 % del total, son: $1.000.001 - $1.500.000 con el 41,1 % de participación y un crecimiento en la demanda de 58,5 %; $1.500.001 - $2.000.000 que tuvo una participación de 11,3 % y una variación negativa de 5,2 % en su demanda laboral, y $2.000.001 - $3.000.000 con una participación del 11,2 % y una variación del 25,5 %. Las ofertas de empleo con salario a convenir, que se ubican entre las de mayor cantidad de ofertas de empleo, tuvieron una</w:t>
            </w:r>
          </w:p>
          <w:p w14:paraId="13333C4F" w14:textId="5E0CAE83" w:rsidR="00327A2B" w:rsidRPr="001929AD" w:rsidRDefault="00327A2B" w:rsidP="00327A2B">
            <w:pPr>
              <w:pStyle w:val="Listavistosa-nfasis11"/>
              <w:spacing w:line="240" w:lineRule="auto"/>
              <w:ind w:left="494"/>
              <w:jc w:val="both"/>
              <w:rPr>
                <w:rFonts w:ascii="Arial" w:hAnsi="Arial" w:cs="Arial"/>
                <w:iCs/>
                <w:color w:val="000000" w:themeColor="text1"/>
              </w:rPr>
            </w:pPr>
            <w:r w:rsidRPr="00327A2B">
              <w:rPr>
                <w:rFonts w:ascii="Arial" w:hAnsi="Arial" w:cs="Arial"/>
                <w:iCs/>
                <w:color w:val="000000" w:themeColor="text1"/>
              </w:rPr>
              <w:t>participación del 21,1 % y crecieron 14,7 % en su demanda. Respecto a las ofertas de empleo totales, la participación de aquellas que ofrecen entre 800 mil y 1 millón y entre 3 y 4 millones disminuyó en 24,2 % y 1,4 % respectivamente, pasando de representar el 33,0 % en junio de 2022 al 7,3 % en junio de 2023. Por su parte, aquellas ofertas menores a 800 mil, entre 1 y 3 millones, 4 y 8 millones y 10 y 15 millones de COP tuvieron un incremento en su participación para junio 2023 frente al mismo mes en 2022, siendo el más representativo el de 1 a 1,5 millones de COP con el 17,2 %.</w:t>
            </w:r>
          </w:p>
        </w:tc>
      </w:tr>
      <w:tr w:rsidR="00DF60FD" w:rsidRPr="009F7CED" w14:paraId="58438FC5" w14:textId="77777777" w:rsidTr="0075705D">
        <w:trPr>
          <w:trHeight w:val="47"/>
        </w:trPr>
        <w:tc>
          <w:tcPr>
            <w:tcW w:w="10774" w:type="dxa"/>
            <w:gridSpan w:val="3"/>
            <w:shd w:val="clear" w:color="auto" w:fill="FFFFFF"/>
            <w:vAlign w:val="center"/>
          </w:tcPr>
          <w:p w14:paraId="42C3453A" w14:textId="77777777" w:rsidR="00251FCE" w:rsidRPr="009F7CED" w:rsidRDefault="00251FCE" w:rsidP="0075705D">
            <w:pPr>
              <w:jc w:val="both"/>
              <w:rPr>
                <w:lang w:eastAsia="es-CO"/>
              </w:rPr>
            </w:pPr>
          </w:p>
        </w:tc>
      </w:tr>
      <w:tr w:rsidR="00DF60FD" w:rsidRPr="009F7CED" w14:paraId="0205F8FB"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32EF6045" w14:textId="77777777" w:rsidR="00DF60FD" w:rsidRDefault="00DF60FD" w:rsidP="0075705D">
            <w:pPr>
              <w:numPr>
                <w:ilvl w:val="0"/>
                <w:numId w:val="44"/>
              </w:numPr>
              <w:ind w:left="494"/>
              <w:rPr>
                <w:rFonts w:cs="Arial"/>
                <w:b/>
                <w:color w:val="000000"/>
                <w:sz w:val="22"/>
                <w:szCs w:val="22"/>
              </w:rPr>
            </w:pPr>
            <w:r w:rsidRPr="009F7CED">
              <w:rPr>
                <w:rFonts w:cs="Arial"/>
                <w:b/>
                <w:color w:val="000000"/>
                <w:sz w:val="22"/>
                <w:szCs w:val="22"/>
              </w:rPr>
              <w:t>AMBITO DE APLICACIÓN Y SUJETO</w:t>
            </w:r>
            <w:r w:rsidR="00795C6B">
              <w:rPr>
                <w:rFonts w:cs="Arial"/>
                <w:b/>
                <w:color w:val="000000"/>
                <w:sz w:val="22"/>
                <w:szCs w:val="22"/>
              </w:rPr>
              <w:t>S</w:t>
            </w:r>
            <w:r w:rsidRPr="009F7CED">
              <w:rPr>
                <w:rFonts w:cs="Arial"/>
                <w:b/>
                <w:color w:val="000000"/>
                <w:sz w:val="22"/>
                <w:szCs w:val="22"/>
              </w:rPr>
              <w:t xml:space="preserve"> A QUIEN</w:t>
            </w:r>
            <w:r w:rsidR="00795C6B">
              <w:rPr>
                <w:rFonts w:cs="Arial"/>
                <w:b/>
                <w:color w:val="000000"/>
                <w:sz w:val="22"/>
                <w:szCs w:val="22"/>
              </w:rPr>
              <w:t>ES</w:t>
            </w:r>
            <w:r w:rsidRPr="009F7CED">
              <w:rPr>
                <w:rFonts w:cs="Arial"/>
                <w:b/>
                <w:color w:val="000000"/>
                <w:sz w:val="22"/>
                <w:szCs w:val="22"/>
              </w:rPr>
              <w:t xml:space="preserve"> VA DIRIGIDO</w:t>
            </w:r>
          </w:p>
          <w:p w14:paraId="07BA21E5" w14:textId="77777777" w:rsidR="001929AD" w:rsidRDefault="001929AD" w:rsidP="0075705D">
            <w:pPr>
              <w:pStyle w:val="Listavistosa-nfasis11"/>
              <w:spacing w:line="240" w:lineRule="auto"/>
              <w:ind w:left="494"/>
              <w:jc w:val="both"/>
              <w:rPr>
                <w:rFonts w:ascii="Arial" w:hAnsi="Arial" w:cs="Arial"/>
                <w:i/>
                <w:color w:val="808080"/>
                <w:sz w:val="18"/>
              </w:rPr>
            </w:pPr>
          </w:p>
          <w:p w14:paraId="244CF988" w14:textId="4D1766F7" w:rsidR="00795C6B" w:rsidRDefault="001929AD" w:rsidP="0075705D">
            <w:pPr>
              <w:pStyle w:val="Listavistosa-nfasis11"/>
              <w:spacing w:line="240" w:lineRule="auto"/>
              <w:ind w:left="494"/>
              <w:jc w:val="both"/>
              <w:rPr>
                <w:rFonts w:ascii="Arial" w:hAnsi="Arial" w:cs="Arial"/>
                <w:iCs/>
                <w:color w:val="000000" w:themeColor="text1"/>
              </w:rPr>
            </w:pPr>
            <w:r w:rsidRPr="001929AD">
              <w:rPr>
                <w:rFonts w:ascii="Arial" w:hAnsi="Arial" w:cs="Arial"/>
                <w:iCs/>
                <w:color w:val="000000" w:themeColor="text1"/>
              </w:rPr>
              <w:t>Las disposiciones contenidas en la presente resolución se  aplicarán  en todo  el  territorio  nacional  a  las  personas  jurídicas,  personas  naturales, consorcios,  uniones temporales,  patrimonios  autónomos  declarantes  de renta que obren como empleadores  y cooperativas  que se postulen  como beneficiarios  del  incentivo a la creación y permanencia de nuevos empleos formales, respecto de sus trabajadores dependientes y asociados; a las entidades  financieras y cooperativas de ahorro y crédito</w:t>
            </w:r>
            <w:r w:rsidR="00327A2B">
              <w:rPr>
                <w:rFonts w:ascii="Arial" w:hAnsi="Arial" w:cs="Arial"/>
                <w:iCs/>
                <w:color w:val="000000" w:themeColor="text1"/>
              </w:rPr>
              <w:t>, incluidas las de trabajo asociado</w:t>
            </w:r>
            <w:r w:rsidRPr="001929AD">
              <w:rPr>
                <w:rFonts w:ascii="Arial" w:hAnsi="Arial" w:cs="Arial"/>
                <w:iCs/>
                <w:color w:val="000000" w:themeColor="text1"/>
              </w:rPr>
              <w:t>; a la Unidad Administrativa Especial de Gestión   Pensional y Contribuciones Parafiscales de la Protección Social  -UGPP; a la Superintendencia de la   Economía Solidaria y al Ministerio del Trabajo de conformidad con la Sección 10 del Capítulo 1 del  Título 6 de la Parte 2 del Libro 2 del Decreto 1072  de 2015.</w:t>
            </w:r>
            <w:r w:rsidR="00696582" w:rsidRPr="001929AD">
              <w:rPr>
                <w:rFonts w:ascii="Arial" w:hAnsi="Arial" w:cs="Arial"/>
                <w:iCs/>
                <w:color w:val="000000" w:themeColor="text1"/>
              </w:rPr>
              <w:t xml:space="preserve"> </w:t>
            </w:r>
            <w:r w:rsidR="00795C6B" w:rsidRPr="001929AD">
              <w:rPr>
                <w:rFonts w:ascii="Arial" w:hAnsi="Arial" w:cs="Arial"/>
                <w:iCs/>
                <w:color w:val="000000" w:themeColor="text1"/>
              </w:rPr>
              <w:t>(Por favor indique el ámbito de aplicación o sujetos obligados de la norma)</w:t>
            </w:r>
            <w:r w:rsidR="00327A2B">
              <w:rPr>
                <w:rFonts w:ascii="Arial" w:hAnsi="Arial" w:cs="Arial"/>
                <w:iCs/>
                <w:color w:val="000000" w:themeColor="text1"/>
              </w:rPr>
              <w:t>.</w:t>
            </w:r>
          </w:p>
          <w:p w14:paraId="0B1A10DF" w14:textId="77777777" w:rsidR="00795C6B" w:rsidRPr="009F7CED" w:rsidRDefault="00795C6B" w:rsidP="0075705D">
            <w:pPr>
              <w:rPr>
                <w:rFonts w:cs="Arial"/>
                <w:iCs/>
                <w:color w:val="000000"/>
                <w:sz w:val="22"/>
                <w:szCs w:val="22"/>
              </w:rPr>
            </w:pPr>
          </w:p>
        </w:tc>
      </w:tr>
      <w:tr w:rsidR="00DF60FD" w:rsidRPr="009F7CED" w14:paraId="2379D011" w14:textId="77777777" w:rsidTr="0075705D">
        <w:trPr>
          <w:trHeight w:val="278"/>
        </w:trPr>
        <w:tc>
          <w:tcPr>
            <w:tcW w:w="10774" w:type="dxa"/>
            <w:gridSpan w:val="3"/>
            <w:tcBorders>
              <w:bottom w:val="single" w:sz="4" w:space="0" w:color="auto"/>
            </w:tcBorders>
            <w:shd w:val="clear" w:color="auto" w:fill="FFFFFF"/>
            <w:vAlign w:val="center"/>
          </w:tcPr>
          <w:p w14:paraId="3A2D70FA" w14:textId="77777777" w:rsidR="00DF60FD" w:rsidRDefault="00795C6B" w:rsidP="0075705D">
            <w:pPr>
              <w:ind w:left="494" w:hanging="283"/>
              <w:rPr>
                <w:rFonts w:cs="Arial"/>
                <w:b/>
                <w:color w:val="000000"/>
                <w:sz w:val="22"/>
                <w:szCs w:val="22"/>
              </w:rPr>
            </w:pPr>
            <w:r>
              <w:rPr>
                <w:rFonts w:cs="Arial"/>
                <w:b/>
                <w:color w:val="000000"/>
                <w:sz w:val="22"/>
                <w:szCs w:val="22"/>
              </w:rPr>
              <w:t xml:space="preserve">3. </w:t>
            </w:r>
            <w:r w:rsidR="00DF60FD" w:rsidRPr="009F7CED">
              <w:rPr>
                <w:rFonts w:cs="Arial"/>
                <w:b/>
                <w:color w:val="000000"/>
                <w:sz w:val="22"/>
                <w:szCs w:val="22"/>
              </w:rPr>
              <w:t>VIABILIDAD JURÍDICA</w:t>
            </w:r>
          </w:p>
          <w:p w14:paraId="7C53FEB6" w14:textId="5E402AF6" w:rsidR="00D05B67" w:rsidRPr="00084B49" w:rsidRDefault="00D05B67" w:rsidP="0075705D">
            <w:pPr>
              <w:ind w:left="494" w:hanging="283"/>
              <w:rPr>
                <w:rFonts w:cs="Arial"/>
                <w:i/>
                <w:color w:val="808080"/>
                <w:sz w:val="18"/>
                <w:szCs w:val="22"/>
              </w:rPr>
            </w:pPr>
          </w:p>
          <w:p w14:paraId="3D5F7F6F" w14:textId="77777777" w:rsidR="00D05B67" w:rsidRPr="00084B49" w:rsidRDefault="00D05B67" w:rsidP="0075705D">
            <w:pPr>
              <w:ind w:left="494" w:hanging="283"/>
              <w:rPr>
                <w:rFonts w:cs="Arial"/>
                <w:i/>
                <w:color w:val="808080"/>
                <w:sz w:val="22"/>
                <w:szCs w:val="22"/>
              </w:rPr>
            </w:pPr>
          </w:p>
          <w:p w14:paraId="13A88DC8" w14:textId="77777777" w:rsidR="00795C6B" w:rsidRPr="00312DA1" w:rsidRDefault="00795C6B" w:rsidP="0075705D">
            <w:pPr>
              <w:ind w:left="494" w:hanging="283"/>
              <w:jc w:val="both"/>
              <w:rPr>
                <w:rFonts w:cs="Arial"/>
                <w:b/>
                <w:bCs/>
                <w:sz w:val="22"/>
                <w:szCs w:val="22"/>
                <w:lang w:val="es-CO" w:eastAsia="es-CO"/>
              </w:rPr>
            </w:pPr>
            <w:r w:rsidRPr="00312DA1">
              <w:rPr>
                <w:rFonts w:cs="Arial"/>
                <w:b/>
                <w:bCs/>
                <w:sz w:val="22"/>
                <w:szCs w:val="22"/>
                <w:lang w:val="es-CO" w:eastAsia="es-CO"/>
              </w:rPr>
              <w:t>3.1 Análisis de las normas que otorgan la competencia para la expedición del proyecto normativo</w:t>
            </w:r>
          </w:p>
          <w:p w14:paraId="49A71E20" w14:textId="77777777" w:rsidR="00327A2B" w:rsidRPr="00312DA1" w:rsidRDefault="00327A2B" w:rsidP="0075705D">
            <w:pPr>
              <w:ind w:left="494" w:hanging="283"/>
              <w:jc w:val="both"/>
              <w:rPr>
                <w:rFonts w:cs="Arial"/>
                <w:b/>
                <w:bCs/>
                <w:sz w:val="22"/>
                <w:szCs w:val="22"/>
                <w:lang w:val="es-CO" w:eastAsia="es-CO"/>
              </w:rPr>
            </w:pPr>
          </w:p>
          <w:p w14:paraId="4E697DCA" w14:textId="77777777" w:rsidR="00312DA1" w:rsidRPr="00312DA1" w:rsidRDefault="00312DA1" w:rsidP="00312DA1">
            <w:pPr>
              <w:contextualSpacing/>
              <w:jc w:val="both"/>
              <w:rPr>
                <w:rFonts w:cs="Arial"/>
                <w:iCs/>
                <w:color w:val="000000" w:themeColor="text1"/>
                <w:sz w:val="22"/>
                <w:szCs w:val="22"/>
                <w:lang w:val="es-CO" w:eastAsia="es-CO"/>
              </w:rPr>
            </w:pPr>
            <w:r w:rsidRPr="00312DA1">
              <w:rPr>
                <w:rFonts w:cs="Arial"/>
                <w:iCs/>
                <w:color w:val="000000" w:themeColor="text1"/>
                <w:sz w:val="22"/>
                <w:szCs w:val="22"/>
                <w:lang w:val="es-CO" w:eastAsia="es-CO"/>
              </w:rPr>
              <w:t>El artículo 79 de la Ley 2294 de 2023 “por medio de la cual se expide el Plan Nacional de Desarrollo 2022 – 2026 ´Colombia Potencia Mundial de la Vida´”, relativo al Incentivo a la Creación y Permanencia de Nuevos Empleos Formales, dispone lo siguiente:</w:t>
            </w:r>
          </w:p>
          <w:p w14:paraId="400B9C74" w14:textId="77777777" w:rsidR="00312DA1" w:rsidRPr="00312DA1" w:rsidRDefault="00312DA1" w:rsidP="00312DA1">
            <w:pPr>
              <w:contextualSpacing/>
              <w:jc w:val="both"/>
              <w:rPr>
                <w:rFonts w:cs="Arial"/>
                <w:iCs/>
                <w:color w:val="000000" w:themeColor="text1"/>
                <w:sz w:val="22"/>
                <w:szCs w:val="22"/>
                <w:lang w:val="es-CO" w:eastAsia="es-CO"/>
              </w:rPr>
            </w:pPr>
          </w:p>
          <w:p w14:paraId="187DE177" w14:textId="77777777" w:rsidR="00312DA1" w:rsidRPr="00312DA1" w:rsidRDefault="00312DA1" w:rsidP="00312DA1">
            <w:pPr>
              <w:contextualSpacing/>
              <w:jc w:val="both"/>
              <w:rPr>
                <w:rFonts w:cs="Arial"/>
                <w:i/>
                <w:color w:val="000000" w:themeColor="text1"/>
                <w:sz w:val="22"/>
                <w:szCs w:val="22"/>
                <w:lang w:val="es-CO" w:eastAsia="es-CO"/>
              </w:rPr>
            </w:pPr>
            <w:r w:rsidRPr="00312DA1">
              <w:rPr>
                <w:rFonts w:cs="Arial"/>
                <w:iCs/>
                <w:color w:val="000000" w:themeColor="text1"/>
                <w:sz w:val="22"/>
                <w:szCs w:val="22"/>
                <w:lang w:val="es-CO" w:eastAsia="es-CO"/>
              </w:rPr>
              <w:lastRenderedPageBreak/>
              <w:t>“</w:t>
            </w:r>
            <w:r w:rsidRPr="00312DA1">
              <w:rPr>
                <w:rFonts w:cs="Arial"/>
                <w:i/>
                <w:color w:val="000000" w:themeColor="text1"/>
                <w:sz w:val="22"/>
                <w:szCs w:val="22"/>
                <w:lang w:val="es-CO" w:eastAsia="es-CO"/>
              </w:rPr>
              <w:t>ARTÍCULO 79. INCENTIVO A LA CREACIÓN Y PERMANENCIA DE NUEVOS EMPLEOS FORMALES. Con el objetivo de dar continuidad a las medidas encaminadas a la promoción, generación y protección del empleo formal, el incentivo a la generación de nuevo empleo definido en el artículo 24 de la Ley 2155 de 2021, se ampliará a los empleadores que vinculen a trabajadores con discapacidad y podrá extenderse hasta agosto de 2026. El Gobierno nacional evaluará la pertinencia de su continuidad, de acuerdo con los resultados de los estudios técnicos realizados por las entidades públicas sectoriales, y podrá rediseñar los requisitos de acceso y permanencia, las poblaciones beneficiarias, los montos y mecanismos para otorgar el incentivo y los demás aspectos necesarios para su implementación.</w:t>
            </w:r>
          </w:p>
          <w:p w14:paraId="303F451C" w14:textId="77777777" w:rsidR="00312DA1" w:rsidRPr="00312DA1" w:rsidRDefault="00312DA1" w:rsidP="00312DA1">
            <w:pPr>
              <w:contextualSpacing/>
              <w:jc w:val="both"/>
              <w:rPr>
                <w:rFonts w:cs="Arial"/>
                <w:i/>
                <w:color w:val="000000" w:themeColor="text1"/>
                <w:sz w:val="22"/>
                <w:szCs w:val="22"/>
                <w:lang w:val="es-CO" w:eastAsia="es-CO"/>
              </w:rPr>
            </w:pPr>
          </w:p>
          <w:p w14:paraId="064B0377" w14:textId="77777777" w:rsidR="00312DA1" w:rsidRPr="00312DA1" w:rsidRDefault="00312DA1" w:rsidP="00312DA1">
            <w:pPr>
              <w:contextualSpacing/>
              <w:jc w:val="both"/>
              <w:rPr>
                <w:rFonts w:cs="Arial"/>
                <w:i/>
                <w:color w:val="000000" w:themeColor="text1"/>
                <w:sz w:val="22"/>
                <w:szCs w:val="22"/>
                <w:lang w:val="es-CO" w:eastAsia="es-CO"/>
              </w:rPr>
            </w:pPr>
            <w:r w:rsidRPr="00312DA1">
              <w:rPr>
                <w:rFonts w:cs="Arial"/>
                <w:i/>
                <w:color w:val="000000" w:themeColor="text1"/>
                <w:sz w:val="22"/>
                <w:szCs w:val="22"/>
                <w:lang w:val="es-CO" w:eastAsia="es-CO"/>
              </w:rPr>
              <w:t>El Ministerio del Trabajo ejercerá la ordenación del gasto. Sin perjuicio de lo anterior, las demás entidades del orden nacional, en articulación con entidades territoriales, podrán destinar los recursos de acuerdo con sus disponibilidades presupuestales, en el Marco fiscal de mediano plazo y el Marco de Gasto de mediano plazo, para la debida ejecución de cada programa. Para tal efecto, se podrán efectuar las modificaciones presupuestales, institucionales u operativas a que haya lugar.</w:t>
            </w:r>
          </w:p>
          <w:p w14:paraId="06D099DE" w14:textId="77777777" w:rsidR="00312DA1" w:rsidRPr="00312DA1" w:rsidRDefault="00312DA1" w:rsidP="00312DA1">
            <w:pPr>
              <w:contextualSpacing/>
              <w:jc w:val="both"/>
              <w:rPr>
                <w:rFonts w:cs="Arial"/>
                <w:i/>
                <w:color w:val="000000" w:themeColor="text1"/>
                <w:sz w:val="22"/>
                <w:szCs w:val="22"/>
                <w:lang w:val="es-CO" w:eastAsia="es-CO"/>
              </w:rPr>
            </w:pPr>
          </w:p>
          <w:p w14:paraId="0BAB7E84" w14:textId="77777777" w:rsidR="00312DA1" w:rsidRPr="00312DA1" w:rsidRDefault="00312DA1" w:rsidP="00312DA1">
            <w:pPr>
              <w:contextualSpacing/>
              <w:jc w:val="both"/>
              <w:rPr>
                <w:rFonts w:cs="Arial"/>
                <w:i/>
                <w:color w:val="000000" w:themeColor="text1"/>
                <w:sz w:val="22"/>
                <w:szCs w:val="22"/>
                <w:lang w:val="es-CO" w:eastAsia="es-CO"/>
              </w:rPr>
            </w:pPr>
            <w:r w:rsidRPr="00312DA1">
              <w:rPr>
                <w:rFonts w:cs="Arial"/>
                <w:i/>
                <w:color w:val="000000" w:themeColor="text1"/>
                <w:sz w:val="22"/>
                <w:szCs w:val="22"/>
                <w:lang w:val="es-CO" w:eastAsia="es-CO"/>
              </w:rPr>
              <w:t>La validación del cumplimiento de los requisitos establecidos para los diferentes programas y su posterior fiscalización, estarán a cargo de la Unidad de Gestión Pensional y Aportes Parafiscales -UGPP, de acuerdo con la reglamentación que para el efecto expida el Ministerio del Trabajo.</w:t>
            </w:r>
          </w:p>
          <w:p w14:paraId="4D214F84" w14:textId="77777777" w:rsidR="00312DA1" w:rsidRPr="00312DA1" w:rsidRDefault="00312DA1" w:rsidP="00312DA1">
            <w:pPr>
              <w:contextualSpacing/>
              <w:jc w:val="both"/>
              <w:rPr>
                <w:rFonts w:cs="Arial"/>
                <w:i/>
                <w:color w:val="000000" w:themeColor="text1"/>
                <w:sz w:val="22"/>
                <w:szCs w:val="22"/>
                <w:lang w:val="es-CO" w:eastAsia="es-CO"/>
              </w:rPr>
            </w:pPr>
          </w:p>
          <w:p w14:paraId="11F45253" w14:textId="77777777" w:rsidR="00312DA1" w:rsidRPr="00312DA1" w:rsidRDefault="00312DA1" w:rsidP="00312DA1">
            <w:pPr>
              <w:contextualSpacing/>
              <w:jc w:val="both"/>
              <w:rPr>
                <w:rFonts w:cs="Arial"/>
                <w:iCs/>
                <w:color w:val="000000" w:themeColor="text1"/>
                <w:sz w:val="22"/>
                <w:szCs w:val="22"/>
                <w:lang w:val="es-CO" w:eastAsia="es-CO"/>
              </w:rPr>
            </w:pPr>
            <w:r w:rsidRPr="00312DA1">
              <w:rPr>
                <w:rFonts w:cs="Arial"/>
                <w:i/>
                <w:color w:val="000000" w:themeColor="text1"/>
                <w:sz w:val="22"/>
                <w:szCs w:val="22"/>
                <w:lang w:val="es-CO" w:eastAsia="es-CO"/>
              </w:rPr>
              <w:t>PARÁGRAFO. Para cumplir lo dispuesto en el presente artículo, la persona beneficiaria deberá permanecer en la empresa por un tiempo mínimo de 6 meses.</w:t>
            </w:r>
            <w:r w:rsidRPr="00312DA1">
              <w:rPr>
                <w:rFonts w:cs="Arial"/>
                <w:iCs/>
                <w:color w:val="000000" w:themeColor="text1"/>
                <w:sz w:val="22"/>
                <w:szCs w:val="22"/>
                <w:lang w:val="es-CO" w:eastAsia="es-CO"/>
              </w:rPr>
              <w:t>”</w:t>
            </w:r>
          </w:p>
          <w:p w14:paraId="6506E5AF" w14:textId="77777777" w:rsidR="00312DA1" w:rsidRPr="00312DA1" w:rsidRDefault="00312DA1" w:rsidP="00312DA1">
            <w:pPr>
              <w:contextualSpacing/>
              <w:jc w:val="both"/>
              <w:rPr>
                <w:rFonts w:cs="Arial"/>
                <w:iCs/>
                <w:color w:val="000000" w:themeColor="text1"/>
                <w:sz w:val="22"/>
                <w:szCs w:val="22"/>
                <w:lang w:val="es-CO" w:eastAsia="es-CO"/>
              </w:rPr>
            </w:pPr>
          </w:p>
          <w:p w14:paraId="54A658DE" w14:textId="77777777" w:rsidR="00312DA1" w:rsidRPr="00312DA1" w:rsidRDefault="00312DA1" w:rsidP="00312DA1">
            <w:pPr>
              <w:contextualSpacing/>
              <w:jc w:val="both"/>
              <w:rPr>
                <w:rFonts w:cs="Arial"/>
                <w:iCs/>
                <w:color w:val="000000" w:themeColor="text1"/>
                <w:sz w:val="22"/>
                <w:szCs w:val="22"/>
                <w:lang w:val="es-CO" w:eastAsia="es-CO"/>
              </w:rPr>
            </w:pPr>
            <w:r w:rsidRPr="00312DA1">
              <w:rPr>
                <w:rFonts w:cs="Arial"/>
                <w:iCs/>
                <w:color w:val="000000" w:themeColor="text1"/>
                <w:sz w:val="22"/>
                <w:szCs w:val="22"/>
                <w:lang w:val="es-CO" w:eastAsia="es-CO"/>
              </w:rPr>
              <w:t>Como se observa, el artículo 79 de la Ley 2294 de 2023 amplió el incentivo a la creación y permanencia de nuevos empleos formales, establecido inicialmente en el artículo 24 de la Ley 2155 de 2021, para incluir a empleadores que contraten trabajadores con discapacidad, y extender su vigencia hasta agosto de 2026. El objetivo es dar continuidad a las medidas encaminadas a la promoción, generación y protección del empleo formal, con un enfoque en la inclusión laboral de personas con discapacidad. En consecuencia, el Gobierno Nacional se encuentra actualmente rediseñando los requisitos de acceso y permanencia en el programa de incentivo, definir las poblaciones beneficiarias, establecer montos y mecanismos para otorgar el incentivo, así como otros aspectos necesarios para su implementación. Esto indica una flexibilidad para ajustar el programa según las circunstancias cambiantes y los resultados de evaluación.</w:t>
            </w:r>
          </w:p>
          <w:p w14:paraId="0CAC24E1" w14:textId="77777777" w:rsidR="00312DA1" w:rsidRPr="00312DA1" w:rsidRDefault="00312DA1" w:rsidP="00312DA1">
            <w:pPr>
              <w:contextualSpacing/>
              <w:jc w:val="both"/>
              <w:rPr>
                <w:rFonts w:cs="Arial"/>
                <w:iCs/>
                <w:color w:val="000000" w:themeColor="text1"/>
                <w:sz w:val="22"/>
                <w:szCs w:val="22"/>
                <w:lang w:val="es-CO" w:eastAsia="es-CO"/>
              </w:rPr>
            </w:pPr>
          </w:p>
          <w:p w14:paraId="430F7240" w14:textId="77777777" w:rsidR="00312DA1" w:rsidRPr="00312DA1" w:rsidRDefault="00312DA1" w:rsidP="00312DA1">
            <w:pPr>
              <w:contextualSpacing/>
              <w:jc w:val="both"/>
              <w:rPr>
                <w:rFonts w:cs="Arial"/>
                <w:iCs/>
                <w:color w:val="000000" w:themeColor="text1"/>
                <w:sz w:val="22"/>
                <w:szCs w:val="22"/>
                <w:lang w:val="es-CO" w:eastAsia="es-CO"/>
              </w:rPr>
            </w:pPr>
            <w:r w:rsidRPr="00312DA1">
              <w:rPr>
                <w:rFonts w:cs="Arial"/>
                <w:iCs/>
                <w:color w:val="000000" w:themeColor="text1"/>
                <w:sz w:val="22"/>
                <w:szCs w:val="22"/>
                <w:lang w:val="es-CO" w:eastAsia="es-CO"/>
              </w:rPr>
              <w:t>De acuerdo con lo anterior, y teniendo en cuenta los estudios preliminares realizados por el Departamento Nacional de Planeación -DNP- sobre los resultados obtenidos durante la implementación del Incentivo a la creación de nuevos empleos contemplado en el artículo 24 de la Ley 2155 de 2021, el Gobierno nacional, en cabeza del Ministerio del Trabajo, se encuentra considerado las nuevas variables de implementación del artículo 79 de la Ley 2294 de 2023, como es la entrega del incentivo a los empleadores que vinculen a personas con discapacidad (</w:t>
            </w:r>
            <w:proofErr w:type="spellStart"/>
            <w:r w:rsidRPr="00312DA1">
              <w:rPr>
                <w:rFonts w:cs="Arial"/>
                <w:iCs/>
                <w:color w:val="000000" w:themeColor="text1"/>
                <w:sz w:val="22"/>
                <w:szCs w:val="22"/>
                <w:lang w:val="es-CO" w:eastAsia="es-CO"/>
              </w:rPr>
              <w:t>PcD</w:t>
            </w:r>
            <w:proofErr w:type="spellEnd"/>
            <w:r w:rsidRPr="00312DA1">
              <w:rPr>
                <w:rFonts w:cs="Arial"/>
                <w:iCs/>
                <w:color w:val="000000" w:themeColor="text1"/>
                <w:sz w:val="22"/>
                <w:szCs w:val="22"/>
                <w:lang w:val="es-CO" w:eastAsia="es-CO"/>
              </w:rPr>
              <w:t xml:space="preserve">) dadas las dificultades que este grupo poblacional tiene actualmente para vincularse al mercado laboral, mediante el reconocimiento de un incentivo especial, para lo cual se está valorado el monto de los porcentajes que se reconocerán posteriormente sobre el Salario Mínimo Legal Mensual Vigente -SMLMV- por la vinculación de </w:t>
            </w:r>
            <w:proofErr w:type="spellStart"/>
            <w:r w:rsidRPr="00312DA1">
              <w:rPr>
                <w:rFonts w:cs="Arial"/>
                <w:iCs/>
                <w:color w:val="000000" w:themeColor="text1"/>
                <w:sz w:val="22"/>
                <w:szCs w:val="22"/>
                <w:lang w:val="es-CO" w:eastAsia="es-CO"/>
              </w:rPr>
              <w:t>PcD</w:t>
            </w:r>
            <w:proofErr w:type="spellEnd"/>
            <w:r w:rsidRPr="00312DA1">
              <w:rPr>
                <w:rFonts w:cs="Arial"/>
                <w:iCs/>
                <w:color w:val="000000" w:themeColor="text1"/>
                <w:sz w:val="22"/>
                <w:szCs w:val="22"/>
                <w:lang w:val="es-CO" w:eastAsia="es-CO"/>
              </w:rPr>
              <w:t xml:space="preserve"> y los otros grupos poblacionales por los que se reconoce el incentivo. </w:t>
            </w:r>
          </w:p>
          <w:p w14:paraId="429EE907" w14:textId="77777777" w:rsidR="00312DA1" w:rsidRPr="00312DA1" w:rsidRDefault="00312DA1" w:rsidP="00312DA1">
            <w:pPr>
              <w:contextualSpacing/>
              <w:jc w:val="both"/>
              <w:rPr>
                <w:rFonts w:cs="Arial"/>
                <w:iCs/>
                <w:color w:val="000000" w:themeColor="text1"/>
                <w:sz w:val="22"/>
                <w:szCs w:val="22"/>
                <w:lang w:val="es-CO" w:eastAsia="es-CO"/>
              </w:rPr>
            </w:pPr>
          </w:p>
          <w:p w14:paraId="655E7AF9" w14:textId="77777777" w:rsidR="00312DA1" w:rsidRPr="00312DA1" w:rsidRDefault="00312DA1" w:rsidP="00312DA1">
            <w:pPr>
              <w:contextualSpacing/>
              <w:jc w:val="both"/>
              <w:rPr>
                <w:rFonts w:cs="Arial"/>
                <w:iCs/>
                <w:color w:val="000000" w:themeColor="text1"/>
                <w:sz w:val="22"/>
                <w:szCs w:val="22"/>
                <w:lang w:val="es-CO" w:eastAsia="es-CO"/>
              </w:rPr>
            </w:pPr>
            <w:r w:rsidRPr="00312DA1">
              <w:rPr>
                <w:rFonts w:cs="Arial"/>
                <w:iCs/>
                <w:color w:val="000000" w:themeColor="text1"/>
                <w:sz w:val="22"/>
                <w:szCs w:val="22"/>
                <w:lang w:val="es-CO" w:eastAsia="es-CO"/>
              </w:rPr>
              <w:t>En cuanto otros aspectos establecidos en el artículo 24 de la Ley 2155 de 2021, tales como los requisitos de acceso y permanencia, las poblaciones beneficiarias, los tipos de trabajadores por los que se reconoce, los montos y mecanismos para su otorgamiento, su vigencia, el parámetro de referencia para determinar la existencia de trabajadores adicionales y los demás aspectos necesarios para su implementación, serán mantenidos en la forma como están operando actualmente.</w:t>
            </w:r>
          </w:p>
          <w:p w14:paraId="281CD1FD" w14:textId="77777777" w:rsidR="00327A2B" w:rsidRPr="00312DA1" w:rsidRDefault="00327A2B" w:rsidP="0075705D">
            <w:pPr>
              <w:ind w:left="494" w:hanging="283"/>
              <w:jc w:val="both"/>
              <w:rPr>
                <w:rFonts w:cs="Arial"/>
                <w:iCs/>
                <w:color w:val="000000" w:themeColor="text1"/>
                <w:sz w:val="22"/>
                <w:szCs w:val="22"/>
                <w:lang w:val="es-CO" w:eastAsia="es-CO"/>
              </w:rPr>
            </w:pPr>
          </w:p>
          <w:p w14:paraId="4453FDEF" w14:textId="77777777" w:rsidR="00795C6B" w:rsidRDefault="00795C6B" w:rsidP="0075705D">
            <w:pPr>
              <w:ind w:left="494" w:hanging="283"/>
              <w:jc w:val="both"/>
              <w:rPr>
                <w:rFonts w:cs="Arial"/>
                <w:sz w:val="22"/>
                <w:szCs w:val="22"/>
                <w:lang w:val="es-CO" w:eastAsia="es-CO"/>
              </w:rPr>
            </w:pPr>
          </w:p>
          <w:p w14:paraId="65419037" w14:textId="77777777" w:rsidR="00795C6B" w:rsidRPr="00312DA1" w:rsidRDefault="00795C6B" w:rsidP="0075705D">
            <w:pPr>
              <w:ind w:left="494" w:hanging="283"/>
              <w:jc w:val="both"/>
              <w:rPr>
                <w:rFonts w:cs="Arial"/>
                <w:b/>
                <w:bCs/>
                <w:sz w:val="22"/>
                <w:szCs w:val="22"/>
                <w:lang w:val="es-CO" w:eastAsia="es-CO"/>
              </w:rPr>
            </w:pPr>
            <w:r w:rsidRPr="00312DA1">
              <w:rPr>
                <w:rFonts w:cs="Arial"/>
                <w:b/>
                <w:bCs/>
                <w:sz w:val="22"/>
                <w:szCs w:val="22"/>
                <w:lang w:val="es-CO" w:eastAsia="es-CO"/>
              </w:rPr>
              <w:t>3.2 Vigencia de la ley o norma reglamentada o desarrollada</w:t>
            </w:r>
          </w:p>
          <w:p w14:paraId="4994DC0F" w14:textId="77777777" w:rsidR="00312DA1" w:rsidRDefault="00312DA1" w:rsidP="00312DA1">
            <w:pPr>
              <w:jc w:val="both"/>
              <w:rPr>
                <w:rFonts w:cs="Arial"/>
                <w:sz w:val="22"/>
                <w:szCs w:val="22"/>
                <w:lang w:val="es-CO" w:eastAsia="es-CO"/>
              </w:rPr>
            </w:pPr>
          </w:p>
          <w:p w14:paraId="3B67DA0D" w14:textId="77777777" w:rsidR="00312DA1" w:rsidRPr="00312DA1" w:rsidRDefault="00312DA1" w:rsidP="00312DA1">
            <w:pPr>
              <w:jc w:val="both"/>
              <w:rPr>
                <w:rFonts w:cs="Arial"/>
                <w:sz w:val="22"/>
                <w:szCs w:val="22"/>
                <w:lang w:val="es-CO" w:eastAsia="es-CO"/>
              </w:rPr>
            </w:pPr>
            <w:r w:rsidRPr="00312DA1">
              <w:rPr>
                <w:rFonts w:cs="Arial"/>
                <w:sz w:val="22"/>
                <w:szCs w:val="22"/>
                <w:lang w:val="es-CO" w:eastAsia="es-CO"/>
              </w:rPr>
              <w:t>El artículo 79 de la 2294 de 2023 “</w:t>
            </w:r>
            <w:r w:rsidRPr="00312DA1">
              <w:rPr>
                <w:rFonts w:cs="Arial"/>
                <w:i/>
                <w:iCs/>
                <w:sz w:val="22"/>
                <w:szCs w:val="22"/>
                <w:lang w:val="es-CO" w:eastAsia="es-CO"/>
              </w:rPr>
              <w:t>por medio de la cual se expide el Plan Nacional de Desarrollo 2022 – 2026 ´Colombia Potencia Mundial de la Vida´”,</w:t>
            </w:r>
            <w:r w:rsidRPr="00312DA1">
              <w:rPr>
                <w:rFonts w:cs="Arial"/>
                <w:sz w:val="22"/>
                <w:szCs w:val="22"/>
                <w:lang w:val="es-CO" w:eastAsia="es-CO"/>
              </w:rPr>
              <w:t xml:space="preserve"> se encuentra vigente. </w:t>
            </w:r>
          </w:p>
          <w:p w14:paraId="1A24EFE1" w14:textId="77777777" w:rsidR="00312DA1" w:rsidRPr="00312DA1" w:rsidRDefault="00312DA1" w:rsidP="00312DA1">
            <w:pPr>
              <w:jc w:val="both"/>
              <w:rPr>
                <w:rFonts w:cs="Arial"/>
                <w:sz w:val="22"/>
                <w:szCs w:val="22"/>
                <w:lang w:val="es-CO" w:eastAsia="es-CO"/>
              </w:rPr>
            </w:pPr>
          </w:p>
          <w:p w14:paraId="000C3D3D" w14:textId="16134556" w:rsidR="00312DA1" w:rsidRDefault="00312DA1" w:rsidP="00312DA1">
            <w:pPr>
              <w:jc w:val="both"/>
              <w:rPr>
                <w:rFonts w:cs="Arial"/>
                <w:sz w:val="22"/>
                <w:szCs w:val="22"/>
                <w:lang w:val="es-CO" w:eastAsia="es-CO"/>
              </w:rPr>
            </w:pPr>
            <w:r w:rsidRPr="00312DA1">
              <w:rPr>
                <w:rFonts w:cs="Arial"/>
                <w:sz w:val="22"/>
                <w:szCs w:val="22"/>
                <w:lang w:val="es-CO" w:eastAsia="es-CO"/>
              </w:rPr>
              <w:t>Así mismo, el artículo 24 de la Ley 2155 de 2021 también se encuentra vigente hasta el mes de agosto de 2023, momento en el cual el Gobierno nacional tiene la facultad de evaluar la pertinencia de su continuidad de acuerdo con los resultados obtenidos, pudiendo rediseñar los requisitos de acceso y permanencia, las poblaciones beneficiarias, los montos y mecanismos para otorgar el incentivo y los demás aspectos necesarios para su implementación.</w:t>
            </w:r>
          </w:p>
          <w:p w14:paraId="1F467862" w14:textId="77777777" w:rsidR="00795C6B" w:rsidRDefault="00795C6B" w:rsidP="0075705D">
            <w:pPr>
              <w:ind w:left="494" w:hanging="283"/>
              <w:jc w:val="both"/>
              <w:rPr>
                <w:rFonts w:cs="Arial"/>
                <w:sz w:val="22"/>
                <w:szCs w:val="22"/>
                <w:lang w:val="es-CO" w:eastAsia="es-CO"/>
              </w:rPr>
            </w:pPr>
          </w:p>
          <w:p w14:paraId="4A094CAC" w14:textId="77777777" w:rsidR="00312DA1" w:rsidRPr="00312DA1" w:rsidRDefault="00795C6B" w:rsidP="0075705D">
            <w:pPr>
              <w:ind w:left="494" w:hanging="283"/>
              <w:jc w:val="both"/>
              <w:rPr>
                <w:rFonts w:cs="Arial"/>
                <w:b/>
                <w:bCs/>
                <w:sz w:val="22"/>
                <w:szCs w:val="22"/>
                <w:lang w:val="es-CO" w:eastAsia="es-CO"/>
              </w:rPr>
            </w:pPr>
            <w:r w:rsidRPr="00312DA1">
              <w:rPr>
                <w:rFonts w:cs="Arial"/>
                <w:b/>
                <w:bCs/>
                <w:sz w:val="22"/>
                <w:szCs w:val="22"/>
                <w:lang w:val="es-CO" w:eastAsia="es-CO"/>
              </w:rPr>
              <w:t>3.3. Disposiciones derogas, subrogadas, modificadas, adicionadas</w:t>
            </w:r>
            <w:r w:rsidR="00D05B67" w:rsidRPr="00312DA1">
              <w:rPr>
                <w:rFonts w:cs="Arial"/>
                <w:b/>
                <w:bCs/>
                <w:sz w:val="22"/>
                <w:szCs w:val="22"/>
                <w:lang w:val="es-CO" w:eastAsia="es-CO"/>
              </w:rPr>
              <w:t xml:space="preserve"> o sustituidas</w:t>
            </w:r>
          </w:p>
          <w:p w14:paraId="642226A7" w14:textId="77777777" w:rsidR="00312DA1" w:rsidRDefault="00312DA1" w:rsidP="00312DA1">
            <w:pPr>
              <w:jc w:val="both"/>
              <w:rPr>
                <w:rFonts w:cs="Arial"/>
                <w:sz w:val="22"/>
                <w:szCs w:val="22"/>
                <w:lang w:val="es-CO" w:eastAsia="es-CO"/>
              </w:rPr>
            </w:pPr>
          </w:p>
          <w:p w14:paraId="6D84F861" w14:textId="156E66AD" w:rsidR="00795C6B" w:rsidRDefault="00312DA1" w:rsidP="00312DA1">
            <w:pPr>
              <w:jc w:val="both"/>
              <w:rPr>
                <w:rFonts w:cs="Arial"/>
                <w:sz w:val="22"/>
                <w:szCs w:val="22"/>
                <w:lang w:val="es-CO" w:eastAsia="es-CO"/>
              </w:rPr>
            </w:pPr>
            <w:r w:rsidRPr="00312DA1">
              <w:rPr>
                <w:rFonts w:cs="Arial"/>
                <w:sz w:val="22"/>
                <w:szCs w:val="22"/>
                <w:lang w:val="es-CO" w:eastAsia="es-CO"/>
              </w:rPr>
              <w:t>Se modifica la Sección 10 del Capítulo 1 del Título 6 de la Parte 2 del Libro 2 del Decreto 1072 de 2015, Único Reglamentario del Sector Trabajo.</w:t>
            </w:r>
          </w:p>
          <w:p w14:paraId="21398498" w14:textId="77777777" w:rsidR="00D05B67" w:rsidRDefault="00D05B67" w:rsidP="0075705D">
            <w:pPr>
              <w:ind w:left="494" w:hanging="283"/>
              <w:jc w:val="both"/>
              <w:rPr>
                <w:rFonts w:cs="Arial"/>
                <w:sz w:val="22"/>
                <w:szCs w:val="22"/>
                <w:lang w:val="es-CO" w:eastAsia="es-CO"/>
              </w:rPr>
            </w:pPr>
          </w:p>
          <w:p w14:paraId="36A08FAA" w14:textId="77777777" w:rsidR="00D05B67" w:rsidRPr="00312DA1" w:rsidRDefault="00D05B67" w:rsidP="0075705D">
            <w:pPr>
              <w:ind w:left="494" w:hanging="283"/>
              <w:jc w:val="both"/>
              <w:rPr>
                <w:rFonts w:cs="Arial"/>
                <w:b/>
                <w:bCs/>
                <w:sz w:val="22"/>
                <w:szCs w:val="22"/>
                <w:lang w:val="es-CO" w:eastAsia="es-CO"/>
              </w:rPr>
            </w:pPr>
            <w:r w:rsidRPr="00312DA1">
              <w:rPr>
                <w:rFonts w:cs="Arial"/>
                <w:b/>
                <w:bCs/>
                <w:sz w:val="22"/>
                <w:szCs w:val="22"/>
                <w:lang w:val="es-CO" w:eastAsia="es-CO"/>
              </w:rPr>
              <w:t>3.4 Revisión y análisis de la jurisprudencia que tenga impacto o sea relevante para la expedición del proyecto normativo (órganos de cierre de cada jurisdicción)</w:t>
            </w:r>
          </w:p>
          <w:p w14:paraId="2344F32C" w14:textId="77777777" w:rsidR="00312DA1" w:rsidRDefault="00312DA1" w:rsidP="0075705D">
            <w:pPr>
              <w:ind w:left="494" w:hanging="283"/>
              <w:jc w:val="both"/>
              <w:rPr>
                <w:rFonts w:cs="Arial"/>
                <w:sz w:val="22"/>
                <w:szCs w:val="22"/>
                <w:lang w:val="es-CO" w:eastAsia="es-CO"/>
              </w:rPr>
            </w:pPr>
          </w:p>
          <w:p w14:paraId="347EC286" w14:textId="466E8410" w:rsidR="00312DA1" w:rsidRDefault="00312DA1" w:rsidP="00312DA1">
            <w:pPr>
              <w:jc w:val="both"/>
              <w:rPr>
                <w:rFonts w:cs="Arial"/>
                <w:sz w:val="22"/>
                <w:szCs w:val="22"/>
                <w:lang w:val="es-CO" w:eastAsia="es-CO"/>
              </w:rPr>
            </w:pPr>
            <w:r>
              <w:rPr>
                <w:rFonts w:cs="Arial"/>
                <w:sz w:val="22"/>
                <w:szCs w:val="22"/>
                <w:lang w:val="es-CO" w:eastAsia="es-CO"/>
              </w:rPr>
              <w:t>N/A</w:t>
            </w:r>
          </w:p>
          <w:p w14:paraId="48B43B6F" w14:textId="77777777" w:rsidR="00D05B67" w:rsidRDefault="00D05B67" w:rsidP="0075705D">
            <w:pPr>
              <w:ind w:left="494" w:hanging="283"/>
              <w:jc w:val="both"/>
              <w:rPr>
                <w:rFonts w:cs="Arial"/>
                <w:sz w:val="22"/>
                <w:szCs w:val="22"/>
                <w:lang w:val="es-CO" w:eastAsia="es-CO"/>
              </w:rPr>
            </w:pPr>
          </w:p>
          <w:p w14:paraId="118B9321" w14:textId="77777777" w:rsidR="00312DA1" w:rsidRPr="00312DA1" w:rsidRDefault="00D05B67" w:rsidP="0075705D">
            <w:pPr>
              <w:ind w:left="494" w:hanging="283"/>
              <w:jc w:val="both"/>
              <w:rPr>
                <w:rFonts w:cs="Arial"/>
                <w:b/>
                <w:bCs/>
                <w:sz w:val="22"/>
                <w:szCs w:val="22"/>
                <w:lang w:val="es-CO" w:eastAsia="es-CO"/>
              </w:rPr>
            </w:pPr>
            <w:r w:rsidRPr="00312DA1">
              <w:rPr>
                <w:rFonts w:cs="Arial"/>
                <w:b/>
                <w:bCs/>
                <w:sz w:val="22"/>
                <w:szCs w:val="22"/>
                <w:lang w:val="es-CO" w:eastAsia="es-CO"/>
              </w:rPr>
              <w:t>3.5 Circunstancias jurídicas adicionales</w:t>
            </w:r>
          </w:p>
          <w:p w14:paraId="1092C6D8" w14:textId="77777777" w:rsidR="00312DA1" w:rsidRDefault="00312DA1" w:rsidP="00312DA1">
            <w:pPr>
              <w:jc w:val="both"/>
              <w:rPr>
                <w:rFonts w:cs="Arial"/>
                <w:sz w:val="22"/>
                <w:szCs w:val="22"/>
                <w:lang w:val="es-CO" w:eastAsia="es-CO"/>
              </w:rPr>
            </w:pPr>
          </w:p>
          <w:p w14:paraId="1A6102A3" w14:textId="77777777" w:rsidR="00795C6B" w:rsidRDefault="00D05B67" w:rsidP="00312DA1">
            <w:pPr>
              <w:jc w:val="both"/>
              <w:rPr>
                <w:rFonts w:cs="Arial"/>
                <w:sz w:val="22"/>
                <w:szCs w:val="22"/>
                <w:lang w:val="es-CO" w:eastAsia="es-CO"/>
              </w:rPr>
            </w:pPr>
            <w:r>
              <w:rPr>
                <w:rFonts w:cs="Arial"/>
                <w:sz w:val="22"/>
                <w:szCs w:val="22"/>
                <w:lang w:val="es-CO" w:eastAsia="es-CO"/>
              </w:rPr>
              <w:t xml:space="preserve"> </w:t>
            </w:r>
            <w:r w:rsidR="00312DA1" w:rsidRPr="00312DA1">
              <w:rPr>
                <w:rFonts w:cs="Arial"/>
                <w:sz w:val="22"/>
                <w:szCs w:val="22"/>
                <w:lang w:val="es-CO" w:eastAsia="es-CO"/>
              </w:rPr>
              <w:t>No se configuran circunstancias jurídicas adicionales</w:t>
            </w:r>
          </w:p>
          <w:p w14:paraId="41959B76" w14:textId="34979FC4" w:rsidR="00312DA1" w:rsidRPr="009F7CED" w:rsidRDefault="00312DA1" w:rsidP="00312DA1">
            <w:pPr>
              <w:jc w:val="both"/>
              <w:rPr>
                <w:rFonts w:cs="Arial"/>
                <w:sz w:val="22"/>
                <w:szCs w:val="22"/>
                <w:lang w:val="es-CO" w:eastAsia="es-CO"/>
              </w:rPr>
            </w:pPr>
          </w:p>
        </w:tc>
      </w:tr>
      <w:tr w:rsidR="00DF60FD" w:rsidRPr="009F7CED" w14:paraId="68D8EB1D" w14:textId="77777777" w:rsidTr="0075705D">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2FD99F" w14:textId="77777777" w:rsidR="00843EFF" w:rsidRPr="009F7CED" w:rsidRDefault="00843EFF" w:rsidP="00A161B9">
            <w:pPr>
              <w:rPr>
                <w:rFonts w:cs="Arial"/>
                <w:b/>
                <w:color w:val="000000"/>
                <w:sz w:val="22"/>
                <w:szCs w:val="22"/>
              </w:rPr>
            </w:pPr>
          </w:p>
          <w:p w14:paraId="2DBC5A24" w14:textId="77777777" w:rsidR="00DF60FD" w:rsidRPr="00312DA1" w:rsidRDefault="00DF60FD" w:rsidP="00D05B67">
            <w:pPr>
              <w:numPr>
                <w:ilvl w:val="0"/>
                <w:numId w:val="45"/>
              </w:numPr>
              <w:rPr>
                <w:rFonts w:cs="Arial"/>
                <w:b/>
                <w:color w:val="000000"/>
                <w:sz w:val="22"/>
                <w:szCs w:val="22"/>
              </w:rPr>
            </w:pPr>
            <w:r w:rsidRPr="009F7CED">
              <w:rPr>
                <w:rFonts w:cs="Arial"/>
                <w:b/>
                <w:color w:val="000000"/>
                <w:sz w:val="22"/>
                <w:szCs w:val="22"/>
              </w:rPr>
              <w:t xml:space="preserve">IMPACTO ECONÓMICO </w:t>
            </w:r>
            <w:r w:rsidR="00D05B67" w:rsidRPr="00D05B67">
              <w:rPr>
                <w:rFonts w:cs="Arial"/>
                <w:color w:val="000000"/>
                <w:sz w:val="22"/>
                <w:szCs w:val="22"/>
              </w:rPr>
              <w:t>(Si se requiere)</w:t>
            </w:r>
          </w:p>
          <w:p w14:paraId="4DC64170" w14:textId="77777777" w:rsidR="00312DA1" w:rsidRDefault="00312DA1" w:rsidP="00312DA1">
            <w:pPr>
              <w:ind w:left="720"/>
              <w:rPr>
                <w:rFonts w:cs="Arial"/>
                <w:b/>
                <w:color w:val="000000"/>
                <w:sz w:val="22"/>
                <w:szCs w:val="22"/>
              </w:rPr>
            </w:pPr>
          </w:p>
          <w:p w14:paraId="2DDAE574" w14:textId="2606A865" w:rsidR="00795C6B" w:rsidRPr="00312DA1" w:rsidRDefault="00312DA1" w:rsidP="00312DA1">
            <w:pPr>
              <w:jc w:val="both"/>
              <w:rPr>
                <w:rFonts w:cs="Arial"/>
                <w:bCs/>
                <w:i/>
                <w:color w:val="808080"/>
                <w:sz w:val="18"/>
              </w:rPr>
            </w:pPr>
            <w:r w:rsidRPr="00312DA1">
              <w:rPr>
                <w:rFonts w:cs="Arial"/>
                <w:bCs/>
                <w:color w:val="000000"/>
                <w:sz w:val="22"/>
                <w:szCs w:val="22"/>
              </w:rPr>
              <w:t>El presente acto administrativo tiene impacto fiscal para las vigencias 2023, 2024, 2025 y 2026. Para la vigencia fiscal actual de 2023, el impacto fiscal estimado es de DOSCIENTOS SESENTA Y SEIS MIL NOVECIENTOS OCHENTA Y TRES MILLONES NOVECIENTOS SESENTA Y SIETE MIL NOVECIENTOS CATORCE PESOS M/CTE ($ 266.983.967.914,00.</w:t>
            </w:r>
          </w:p>
          <w:p w14:paraId="41A16CD4" w14:textId="77777777" w:rsidR="00843EFF" w:rsidRPr="00795C6B" w:rsidRDefault="00843EFF" w:rsidP="00795C6B">
            <w:pPr>
              <w:jc w:val="both"/>
              <w:rPr>
                <w:rFonts w:cs="Arial"/>
                <w:sz w:val="22"/>
                <w:szCs w:val="22"/>
                <w:lang w:val="es-CO"/>
              </w:rPr>
            </w:pPr>
          </w:p>
        </w:tc>
      </w:tr>
      <w:tr w:rsidR="00DF60FD" w:rsidRPr="009F7CED" w14:paraId="27303927" w14:textId="77777777" w:rsidTr="0075705D">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4C0992A" w14:textId="77777777" w:rsidR="00843EFF" w:rsidRPr="009F7CED" w:rsidRDefault="00843EFF" w:rsidP="00A161B9">
            <w:pPr>
              <w:rPr>
                <w:rFonts w:cs="Arial"/>
                <w:b/>
                <w:color w:val="000000"/>
                <w:sz w:val="22"/>
                <w:szCs w:val="22"/>
              </w:rPr>
            </w:pPr>
          </w:p>
          <w:p w14:paraId="4BC0D419" w14:textId="77777777" w:rsidR="00DF60FD" w:rsidRPr="00312DA1" w:rsidRDefault="00795C6B" w:rsidP="00D05B67">
            <w:pPr>
              <w:numPr>
                <w:ilvl w:val="0"/>
                <w:numId w:val="45"/>
              </w:numPr>
              <w:rPr>
                <w:rFonts w:cs="Arial"/>
                <w:b/>
                <w:color w:val="000000"/>
                <w:sz w:val="22"/>
                <w:szCs w:val="22"/>
              </w:rPr>
            </w:pPr>
            <w:r>
              <w:rPr>
                <w:rFonts w:cs="Arial"/>
                <w:b/>
                <w:color w:val="000000"/>
                <w:sz w:val="22"/>
                <w:szCs w:val="22"/>
              </w:rPr>
              <w:t xml:space="preserve">VIABILIDAD O </w:t>
            </w:r>
            <w:r w:rsidR="00DF60FD" w:rsidRPr="009F7CED">
              <w:rPr>
                <w:rFonts w:cs="Arial"/>
                <w:b/>
                <w:color w:val="000000"/>
                <w:sz w:val="22"/>
                <w:szCs w:val="22"/>
              </w:rPr>
              <w:t xml:space="preserve">DISPONIBILIDAD PRESUPUESTAL </w:t>
            </w:r>
            <w:r w:rsidR="00D05B67" w:rsidRPr="00D05B67">
              <w:rPr>
                <w:rFonts w:cs="Arial"/>
                <w:color w:val="000000"/>
                <w:sz w:val="22"/>
                <w:szCs w:val="22"/>
              </w:rPr>
              <w:t>(Si se requiere)</w:t>
            </w:r>
          </w:p>
          <w:p w14:paraId="38744CE6" w14:textId="77777777" w:rsidR="00312DA1" w:rsidRDefault="00312DA1" w:rsidP="00312DA1">
            <w:pPr>
              <w:rPr>
                <w:rFonts w:cs="Arial"/>
                <w:b/>
                <w:color w:val="000000"/>
                <w:sz w:val="22"/>
                <w:szCs w:val="22"/>
              </w:rPr>
            </w:pPr>
          </w:p>
          <w:p w14:paraId="54B55B04" w14:textId="39ABC867" w:rsidR="00312DA1" w:rsidRDefault="00312DA1" w:rsidP="00312DA1">
            <w:pPr>
              <w:jc w:val="both"/>
              <w:rPr>
                <w:rFonts w:cs="Arial"/>
                <w:bCs/>
                <w:color w:val="000000"/>
                <w:sz w:val="22"/>
                <w:szCs w:val="22"/>
              </w:rPr>
            </w:pPr>
            <w:r w:rsidRPr="00312DA1">
              <w:rPr>
                <w:rFonts w:cs="Arial"/>
                <w:bCs/>
                <w:color w:val="000000"/>
                <w:sz w:val="22"/>
                <w:szCs w:val="22"/>
              </w:rPr>
              <w:t>De acuerdo con la certificación expedida por la Subdirección Administrativa y Financiera del Ministerio del Trabajo (anexa), a la fecha, en el presupuesto de Gastos de Funcionamiento del Ministerio del Trabajo, Unidad Ejecutora 36-01-01, existe apropiación por comprometer por valor de DOSCIENTOS SESENTA Y SEIS MIL NOVECIENTOS OCHENTA Y TRES MILLONES NOVECIENTOS SESENTA Y SIETE MIL NOVECIENTOS CATORCE PESOS M/CTE ($ 266.983.967.914,00), en el rubro de Transferencias Corrientes A-03-11-08-002 “APOYO PARA EL FOMENTO AL EMPLEO”.</w:t>
            </w:r>
          </w:p>
          <w:p w14:paraId="77319FDF" w14:textId="77777777" w:rsidR="00312DA1" w:rsidRPr="00312DA1" w:rsidRDefault="00312DA1" w:rsidP="00312DA1">
            <w:pPr>
              <w:jc w:val="both"/>
              <w:rPr>
                <w:rFonts w:cs="Arial"/>
                <w:bCs/>
                <w:color w:val="000000"/>
                <w:sz w:val="22"/>
                <w:szCs w:val="22"/>
              </w:rPr>
            </w:pPr>
          </w:p>
          <w:p w14:paraId="3F9595E1" w14:textId="5CBEB82F" w:rsidR="00D05B67" w:rsidRPr="00795C6B" w:rsidRDefault="00312DA1" w:rsidP="00312DA1">
            <w:pPr>
              <w:jc w:val="both"/>
              <w:rPr>
                <w:rFonts w:cs="Arial"/>
                <w:i/>
                <w:color w:val="808080"/>
                <w:sz w:val="18"/>
              </w:rPr>
            </w:pPr>
            <w:r w:rsidRPr="00312DA1">
              <w:rPr>
                <w:rFonts w:cs="Arial"/>
                <w:bCs/>
                <w:color w:val="000000"/>
                <w:sz w:val="22"/>
                <w:szCs w:val="22"/>
              </w:rPr>
              <w:t xml:space="preserve">Para la vigencia 2024 se sujetará a la apropiación que quede aprobada en la Ley de Presupuesto General de la Nación, que se encuentra actualmente en consideración del Congreso de la República; y en las demás </w:t>
            </w:r>
            <w:r w:rsidRPr="00312DA1">
              <w:rPr>
                <w:rFonts w:cs="Arial"/>
                <w:bCs/>
                <w:color w:val="000000"/>
                <w:sz w:val="22"/>
                <w:szCs w:val="22"/>
              </w:rPr>
              <w:lastRenderedPageBreak/>
              <w:t>vigencias fiscales se deberán considerar los recursos en la programación presupuestal para ser incluidos en el Presupuesto General de la Nación.</w:t>
            </w:r>
          </w:p>
          <w:p w14:paraId="68A3A790" w14:textId="77777777" w:rsidR="00F44A2E" w:rsidRDefault="00F44A2E" w:rsidP="00F44A2E">
            <w:pPr>
              <w:jc w:val="both"/>
              <w:rPr>
                <w:sz w:val="22"/>
                <w:szCs w:val="22"/>
                <w:lang w:eastAsia="es-CO"/>
              </w:rPr>
            </w:pPr>
          </w:p>
          <w:p w14:paraId="69601C72" w14:textId="77777777" w:rsidR="00696582" w:rsidRPr="009F7CED" w:rsidRDefault="00696582" w:rsidP="00F44A2E">
            <w:pPr>
              <w:jc w:val="both"/>
              <w:rPr>
                <w:sz w:val="22"/>
                <w:szCs w:val="22"/>
                <w:lang w:eastAsia="es-CO"/>
              </w:rPr>
            </w:pPr>
          </w:p>
        </w:tc>
      </w:tr>
      <w:tr w:rsidR="00DF60FD" w:rsidRPr="009F7CED" w14:paraId="59851443" w14:textId="77777777" w:rsidTr="00696582">
        <w:trPr>
          <w:trHeight w:val="1295"/>
        </w:trPr>
        <w:tc>
          <w:tcPr>
            <w:tcW w:w="10774" w:type="dxa"/>
            <w:gridSpan w:val="3"/>
            <w:tcBorders>
              <w:top w:val="single" w:sz="4" w:space="0" w:color="auto"/>
              <w:bottom w:val="single" w:sz="4" w:space="0" w:color="auto"/>
            </w:tcBorders>
            <w:shd w:val="clear" w:color="auto" w:fill="FFFFFF"/>
            <w:vAlign w:val="center"/>
          </w:tcPr>
          <w:p w14:paraId="000D4AB0" w14:textId="77777777" w:rsidR="00DF60FD" w:rsidRPr="00312DA1" w:rsidRDefault="00DF60FD" w:rsidP="00D05B67">
            <w:pPr>
              <w:numPr>
                <w:ilvl w:val="0"/>
                <w:numId w:val="45"/>
              </w:numPr>
              <w:jc w:val="both"/>
              <w:rPr>
                <w:rFonts w:cs="Arial"/>
                <w:b/>
                <w:color w:val="000000"/>
                <w:sz w:val="22"/>
                <w:szCs w:val="22"/>
              </w:rPr>
            </w:pPr>
            <w:r w:rsidRPr="009F7CED">
              <w:rPr>
                <w:rFonts w:cs="Arial"/>
                <w:b/>
                <w:color w:val="000000"/>
                <w:sz w:val="22"/>
                <w:szCs w:val="22"/>
              </w:rPr>
              <w:lastRenderedPageBreak/>
              <w:t xml:space="preserve"> IMPACTO MEDIOAMBIENTAL O SOBRE EL PATRIMONIO CULTURAL DE LA NACIÓN </w:t>
            </w:r>
            <w:r w:rsidR="00D05B67" w:rsidRPr="00D05B67">
              <w:rPr>
                <w:rFonts w:cs="Arial"/>
                <w:color w:val="000000"/>
                <w:sz w:val="22"/>
                <w:szCs w:val="22"/>
              </w:rPr>
              <w:t>(Si se requiere)</w:t>
            </w:r>
          </w:p>
          <w:p w14:paraId="03ADD478" w14:textId="77777777" w:rsidR="00312DA1" w:rsidRDefault="00312DA1" w:rsidP="00312DA1">
            <w:pPr>
              <w:jc w:val="both"/>
              <w:rPr>
                <w:rFonts w:cs="Arial"/>
                <w:b/>
                <w:color w:val="000000"/>
                <w:sz w:val="22"/>
                <w:szCs w:val="22"/>
              </w:rPr>
            </w:pPr>
          </w:p>
          <w:p w14:paraId="18F6FA49" w14:textId="147A6BC3" w:rsidR="00D05B67" w:rsidRPr="00312DA1" w:rsidRDefault="00312DA1" w:rsidP="00312DA1">
            <w:pPr>
              <w:jc w:val="both"/>
              <w:rPr>
                <w:rFonts w:cs="Arial"/>
                <w:bCs/>
                <w:color w:val="000000"/>
                <w:sz w:val="22"/>
                <w:szCs w:val="22"/>
              </w:rPr>
            </w:pPr>
            <w:r w:rsidRPr="00312DA1">
              <w:rPr>
                <w:rFonts w:cs="Arial"/>
                <w:bCs/>
                <w:color w:val="000000"/>
                <w:sz w:val="22"/>
                <w:szCs w:val="22"/>
              </w:rPr>
              <w:t>N/A</w:t>
            </w:r>
            <w:r w:rsidR="00D05B67" w:rsidRPr="00312DA1">
              <w:rPr>
                <w:rFonts w:cs="Arial"/>
                <w:bCs/>
                <w:i/>
                <w:color w:val="808080"/>
                <w:sz w:val="18"/>
              </w:rPr>
              <w:t xml:space="preserve"> </w:t>
            </w:r>
          </w:p>
          <w:p w14:paraId="55EC8CC6" w14:textId="77777777" w:rsidR="00D05B67" w:rsidRDefault="00D05B67" w:rsidP="00FA4A9E">
            <w:pPr>
              <w:jc w:val="both"/>
              <w:rPr>
                <w:rFonts w:cs="Arial"/>
                <w:b/>
                <w:color w:val="000000"/>
                <w:sz w:val="22"/>
                <w:szCs w:val="22"/>
              </w:rPr>
            </w:pPr>
          </w:p>
          <w:p w14:paraId="6EE16FA6" w14:textId="77777777" w:rsidR="00696582" w:rsidRPr="009F7CED" w:rsidRDefault="00696582" w:rsidP="00FA4A9E">
            <w:pPr>
              <w:jc w:val="both"/>
              <w:rPr>
                <w:rFonts w:cs="Arial"/>
                <w:b/>
                <w:color w:val="000000"/>
                <w:sz w:val="22"/>
                <w:szCs w:val="22"/>
              </w:rPr>
            </w:pPr>
          </w:p>
        </w:tc>
      </w:tr>
      <w:tr w:rsidR="00DF60FD" w:rsidRPr="009F7CED" w14:paraId="4DC23B47" w14:textId="77777777" w:rsidTr="00696582">
        <w:trPr>
          <w:trHeight w:val="317"/>
        </w:trPr>
        <w:tc>
          <w:tcPr>
            <w:tcW w:w="10774" w:type="dxa"/>
            <w:gridSpan w:val="3"/>
            <w:tcBorders>
              <w:top w:val="single" w:sz="4" w:space="0" w:color="auto"/>
              <w:bottom w:val="single" w:sz="4" w:space="0" w:color="auto"/>
            </w:tcBorders>
            <w:shd w:val="clear" w:color="auto" w:fill="FFFFFF"/>
            <w:vAlign w:val="center"/>
          </w:tcPr>
          <w:p w14:paraId="6767AC7C" w14:textId="77777777" w:rsidR="00312DA1" w:rsidRDefault="00D05B67" w:rsidP="00696582">
            <w:pPr>
              <w:numPr>
                <w:ilvl w:val="0"/>
                <w:numId w:val="45"/>
              </w:numPr>
              <w:jc w:val="both"/>
              <w:rPr>
                <w:rFonts w:cs="Arial"/>
                <w:sz w:val="22"/>
                <w:szCs w:val="22"/>
              </w:rPr>
            </w:pPr>
            <w:r w:rsidRPr="00D05B67">
              <w:rPr>
                <w:rFonts w:cs="Arial"/>
                <w:b/>
                <w:sz w:val="22"/>
                <w:szCs w:val="22"/>
              </w:rPr>
              <w:t>ESTUDIOS TÉCNICOS QUE SUSTENTEN EL PROYECTO NORMATIVO</w:t>
            </w:r>
            <w:r>
              <w:rPr>
                <w:rFonts w:cs="Arial"/>
                <w:sz w:val="22"/>
                <w:szCs w:val="22"/>
              </w:rPr>
              <w:t xml:space="preserve"> (Si cuenta con ellos)</w:t>
            </w:r>
          </w:p>
          <w:p w14:paraId="2F1BEEF5" w14:textId="77777777" w:rsidR="00312DA1" w:rsidRDefault="00312DA1" w:rsidP="00312DA1">
            <w:pPr>
              <w:jc w:val="both"/>
              <w:rPr>
                <w:rFonts w:cs="Arial"/>
                <w:b/>
                <w:sz w:val="22"/>
                <w:szCs w:val="22"/>
              </w:rPr>
            </w:pPr>
          </w:p>
          <w:p w14:paraId="78BA8EB1" w14:textId="77777777" w:rsidR="00312DA1" w:rsidRPr="00312DA1" w:rsidRDefault="00696582" w:rsidP="00312DA1">
            <w:pPr>
              <w:jc w:val="both"/>
              <w:rPr>
                <w:rFonts w:cs="Arial"/>
                <w:sz w:val="22"/>
                <w:szCs w:val="22"/>
              </w:rPr>
            </w:pPr>
            <w:r w:rsidRPr="009F7CED">
              <w:rPr>
                <w:rFonts w:cs="Arial"/>
                <w:sz w:val="22"/>
                <w:szCs w:val="22"/>
              </w:rPr>
              <w:t xml:space="preserve"> </w:t>
            </w:r>
            <w:r w:rsidR="00312DA1" w:rsidRPr="00312DA1">
              <w:rPr>
                <w:rFonts w:cs="Arial"/>
                <w:sz w:val="22"/>
                <w:szCs w:val="22"/>
              </w:rPr>
              <w:t>Estudio elaborado por el Departamento Nacional de Planeación -DNP, sobre los resultados de implementación del Incentivo a la creación de nuevos empleos contemplado en el artículo 24 de la Ley 2155 de 2021.</w:t>
            </w:r>
          </w:p>
          <w:p w14:paraId="28010F05" w14:textId="77777777" w:rsidR="00312DA1" w:rsidRPr="00312DA1" w:rsidRDefault="00312DA1" w:rsidP="00312DA1">
            <w:pPr>
              <w:jc w:val="both"/>
              <w:rPr>
                <w:rFonts w:cs="Arial"/>
                <w:sz w:val="22"/>
                <w:szCs w:val="22"/>
              </w:rPr>
            </w:pPr>
          </w:p>
          <w:p w14:paraId="616729FA" w14:textId="4BA9E9E3" w:rsidR="00D05B67" w:rsidRPr="009F7CED" w:rsidRDefault="00312DA1" w:rsidP="00312DA1">
            <w:pPr>
              <w:jc w:val="both"/>
              <w:rPr>
                <w:rFonts w:cs="Arial"/>
                <w:sz w:val="22"/>
                <w:szCs w:val="22"/>
              </w:rPr>
            </w:pPr>
            <w:r w:rsidRPr="00312DA1">
              <w:rPr>
                <w:rFonts w:cs="Arial"/>
                <w:sz w:val="22"/>
                <w:szCs w:val="22"/>
              </w:rPr>
              <w:t xml:space="preserve">Boletín del mes de </w:t>
            </w:r>
            <w:proofErr w:type="gramStart"/>
            <w:r w:rsidRPr="00312DA1">
              <w:rPr>
                <w:rFonts w:cs="Arial"/>
                <w:sz w:val="22"/>
                <w:szCs w:val="22"/>
              </w:rPr>
              <w:t>Junio</w:t>
            </w:r>
            <w:proofErr w:type="gramEnd"/>
            <w:r w:rsidRPr="00312DA1">
              <w:rPr>
                <w:rFonts w:cs="Arial"/>
                <w:sz w:val="22"/>
                <w:szCs w:val="22"/>
              </w:rPr>
              <w:t xml:space="preserve"> de 2023 sobre demanda laboral, elaborado por la Unidad Administrativa Especial del Servicio Público de Empleo -UAESPE.</w:t>
            </w:r>
          </w:p>
        </w:tc>
      </w:tr>
      <w:tr w:rsidR="00DF60FD" w:rsidRPr="00D965B1" w14:paraId="0E0DF9A6" w14:textId="77777777" w:rsidTr="00EE2F54">
        <w:trPr>
          <w:trHeight w:val="416"/>
        </w:trPr>
        <w:tc>
          <w:tcPr>
            <w:tcW w:w="10774" w:type="dxa"/>
            <w:gridSpan w:val="3"/>
            <w:tcBorders>
              <w:top w:val="single" w:sz="4" w:space="0" w:color="auto"/>
              <w:bottom w:val="single" w:sz="4" w:space="0" w:color="auto"/>
            </w:tcBorders>
            <w:shd w:val="clear" w:color="auto" w:fill="993300"/>
            <w:vAlign w:val="center"/>
          </w:tcPr>
          <w:p w14:paraId="0CEA2805" w14:textId="77777777" w:rsidR="00F55DC4" w:rsidRPr="00D965B1" w:rsidRDefault="00DF60FD" w:rsidP="00696582">
            <w:pPr>
              <w:jc w:val="center"/>
              <w:rPr>
                <w:rFonts w:cs="Arial"/>
                <w:color w:val="FFFFFF"/>
                <w:sz w:val="22"/>
                <w:szCs w:val="22"/>
              </w:rPr>
            </w:pPr>
            <w:r w:rsidRPr="00D965B1">
              <w:rPr>
                <w:rFonts w:cs="Arial"/>
                <w:b/>
                <w:color w:val="FFFFFF"/>
                <w:sz w:val="22"/>
                <w:szCs w:val="22"/>
              </w:rPr>
              <w:t>ANEXOS</w:t>
            </w:r>
            <w:r w:rsidR="00D05B67" w:rsidRPr="00D965B1">
              <w:rPr>
                <w:rFonts w:cs="Arial"/>
                <w:b/>
                <w:color w:val="FFFFFF"/>
                <w:sz w:val="22"/>
                <w:szCs w:val="22"/>
              </w:rPr>
              <w:t>:</w:t>
            </w:r>
            <w:r w:rsidR="00696582" w:rsidRPr="00D965B1">
              <w:rPr>
                <w:rFonts w:cs="Arial"/>
                <w:color w:val="FFFFFF"/>
                <w:sz w:val="22"/>
                <w:szCs w:val="22"/>
              </w:rPr>
              <w:t xml:space="preserve"> </w:t>
            </w:r>
          </w:p>
        </w:tc>
      </w:tr>
      <w:tr w:rsidR="00D05B67" w:rsidRPr="009F7CED" w14:paraId="3EE721D0"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492F00C3" w14:textId="77777777" w:rsidR="00D05B67" w:rsidRDefault="00D05B67" w:rsidP="00D05B67">
            <w:pPr>
              <w:jc w:val="both"/>
              <w:rPr>
                <w:rFonts w:cs="Arial"/>
                <w:sz w:val="22"/>
                <w:szCs w:val="22"/>
              </w:rPr>
            </w:pPr>
            <w:r>
              <w:rPr>
                <w:rFonts w:cs="Arial"/>
                <w:sz w:val="22"/>
                <w:szCs w:val="22"/>
              </w:rPr>
              <w:t xml:space="preserve">Certificación de cumplimiento de requisitos de consulta, publicidad y de incorporación en la agenda regulatoria </w:t>
            </w:r>
          </w:p>
          <w:p w14:paraId="2B3D202B" w14:textId="77777777" w:rsidR="00D05B67" w:rsidRPr="00084B49" w:rsidRDefault="00D05B67" w:rsidP="00D05B67">
            <w:pPr>
              <w:jc w:val="both"/>
              <w:rPr>
                <w:rFonts w:cs="Arial"/>
                <w:i/>
                <w:color w:val="808080"/>
                <w:sz w:val="22"/>
                <w:szCs w:val="22"/>
              </w:rPr>
            </w:pPr>
            <w:r w:rsidRPr="00084B49">
              <w:rPr>
                <w:rFonts w:cs="Arial"/>
                <w:i/>
                <w:color w:val="808080"/>
                <w:szCs w:val="22"/>
              </w:rPr>
              <w:t>(Firmada por el servidor público competente –entidad originadora)</w:t>
            </w:r>
          </w:p>
        </w:tc>
        <w:tc>
          <w:tcPr>
            <w:tcW w:w="3119" w:type="dxa"/>
            <w:tcBorders>
              <w:top w:val="single" w:sz="4" w:space="0" w:color="auto"/>
              <w:left w:val="single" w:sz="4" w:space="0" w:color="auto"/>
              <w:bottom w:val="single" w:sz="4" w:space="0" w:color="auto"/>
            </w:tcBorders>
            <w:shd w:val="clear" w:color="auto" w:fill="FFFFFF"/>
            <w:vAlign w:val="center"/>
          </w:tcPr>
          <w:p w14:paraId="6307D79A" w14:textId="70621475" w:rsidR="00D05B67" w:rsidRPr="00084B49" w:rsidRDefault="00312DA1" w:rsidP="00D05B67">
            <w:pPr>
              <w:jc w:val="both"/>
              <w:rPr>
                <w:rFonts w:cs="Arial"/>
                <w:i/>
                <w:color w:val="808080"/>
                <w:sz w:val="22"/>
                <w:szCs w:val="22"/>
              </w:rPr>
            </w:pPr>
            <w:r>
              <w:rPr>
                <w:rFonts w:cs="Arial"/>
                <w:i/>
                <w:color w:val="808080"/>
                <w:sz w:val="22"/>
                <w:szCs w:val="22"/>
              </w:rPr>
              <w:t>X</w:t>
            </w:r>
          </w:p>
        </w:tc>
      </w:tr>
      <w:tr w:rsidR="00D05B67" w:rsidRPr="009F7CED" w14:paraId="6AF4570A"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4408ED7F" w14:textId="77777777" w:rsidR="00D05B67" w:rsidRDefault="00D05B67" w:rsidP="00D05B67">
            <w:pPr>
              <w:jc w:val="both"/>
              <w:rPr>
                <w:rFonts w:cs="Arial"/>
                <w:sz w:val="22"/>
                <w:szCs w:val="22"/>
              </w:rPr>
            </w:pPr>
            <w:r>
              <w:rPr>
                <w:rFonts w:cs="Arial"/>
                <w:sz w:val="22"/>
                <w:szCs w:val="22"/>
              </w:rPr>
              <w:t>Concepto</w:t>
            </w:r>
            <w:r w:rsidR="005F30C3">
              <w:rPr>
                <w:rFonts w:cs="Arial"/>
                <w:sz w:val="22"/>
                <w:szCs w:val="22"/>
              </w:rPr>
              <w:t>(s)</w:t>
            </w:r>
            <w:r>
              <w:rPr>
                <w:rFonts w:cs="Arial"/>
                <w:sz w:val="22"/>
                <w:szCs w:val="22"/>
              </w:rPr>
              <w:t xml:space="preserve"> de Min</w:t>
            </w:r>
            <w:r w:rsidR="005F30C3">
              <w:rPr>
                <w:rFonts w:cs="Arial"/>
                <w:sz w:val="22"/>
                <w:szCs w:val="22"/>
              </w:rPr>
              <w:t>isterio de</w:t>
            </w:r>
            <w:r>
              <w:rPr>
                <w:rFonts w:cs="Arial"/>
                <w:sz w:val="22"/>
                <w:szCs w:val="22"/>
              </w:rPr>
              <w:t xml:space="preserve"> Comercio</w:t>
            </w:r>
            <w:r w:rsidR="005F30C3">
              <w:rPr>
                <w:rFonts w:cs="Arial"/>
                <w:sz w:val="22"/>
                <w:szCs w:val="22"/>
              </w:rPr>
              <w:t>, Industria y Turismo</w:t>
            </w:r>
          </w:p>
          <w:p w14:paraId="258BFF2C" w14:textId="77777777" w:rsidR="00D05B67" w:rsidRPr="00084B49" w:rsidRDefault="005F30C3" w:rsidP="00D05B67">
            <w:pPr>
              <w:jc w:val="both"/>
              <w:rPr>
                <w:rFonts w:cs="Arial"/>
                <w:i/>
                <w:color w:val="808080"/>
                <w:sz w:val="22"/>
                <w:szCs w:val="22"/>
              </w:rPr>
            </w:pPr>
            <w:r w:rsidRPr="00084B49">
              <w:rPr>
                <w:rFonts w:cs="Arial"/>
                <w:i/>
                <w:color w:val="808080"/>
                <w:szCs w:val="22"/>
              </w:rPr>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FFFFFF"/>
            <w:vAlign w:val="center"/>
          </w:tcPr>
          <w:p w14:paraId="06C91341" w14:textId="24AB512C" w:rsidR="00D05B67" w:rsidRDefault="00312DA1" w:rsidP="00D05B67">
            <w:pPr>
              <w:jc w:val="both"/>
              <w:rPr>
                <w:rFonts w:cs="Arial"/>
                <w:sz w:val="22"/>
                <w:szCs w:val="22"/>
              </w:rPr>
            </w:pPr>
            <w:r>
              <w:rPr>
                <w:rFonts w:cs="Arial"/>
                <w:i/>
                <w:color w:val="808080"/>
                <w:sz w:val="22"/>
                <w:szCs w:val="22"/>
              </w:rPr>
              <w:t>N/A</w:t>
            </w:r>
          </w:p>
        </w:tc>
      </w:tr>
      <w:tr w:rsidR="005F30C3" w:rsidRPr="009F7CED" w14:paraId="1AD5B350"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3ABBFDD7" w14:textId="77777777" w:rsidR="005F30C3" w:rsidRDefault="005F30C3" w:rsidP="00D05B67">
            <w:pPr>
              <w:jc w:val="both"/>
              <w:rPr>
                <w:rFonts w:cs="Arial"/>
                <w:sz w:val="22"/>
                <w:szCs w:val="22"/>
              </w:rPr>
            </w:pPr>
            <w:r>
              <w:rPr>
                <w:rFonts w:cs="Arial"/>
                <w:sz w:val="22"/>
                <w:szCs w:val="22"/>
              </w:rPr>
              <w:t xml:space="preserve">Informe de observaciones y respuestas </w:t>
            </w:r>
          </w:p>
          <w:p w14:paraId="5905E776" w14:textId="77777777" w:rsidR="005F30C3" w:rsidRPr="00084B49" w:rsidRDefault="005F30C3" w:rsidP="00D05B67">
            <w:pPr>
              <w:jc w:val="both"/>
              <w:rPr>
                <w:rFonts w:cs="Arial"/>
                <w:i/>
                <w:color w:val="808080"/>
                <w:sz w:val="22"/>
                <w:szCs w:val="22"/>
              </w:rPr>
            </w:pPr>
            <w:r w:rsidRPr="00084B49">
              <w:rPr>
                <w:rFonts w:cs="Arial"/>
                <w:i/>
                <w:color w:val="808080"/>
                <w:szCs w:val="22"/>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FFFFFF"/>
            <w:vAlign w:val="center"/>
          </w:tcPr>
          <w:p w14:paraId="528D8936" w14:textId="79137422" w:rsidR="005F30C3" w:rsidRDefault="00312DA1" w:rsidP="00D05B67">
            <w:pPr>
              <w:jc w:val="both"/>
              <w:rPr>
                <w:rFonts w:cs="Arial"/>
                <w:sz w:val="22"/>
                <w:szCs w:val="22"/>
              </w:rPr>
            </w:pPr>
            <w:r>
              <w:rPr>
                <w:rFonts w:cs="Arial"/>
                <w:i/>
                <w:color w:val="808080"/>
                <w:sz w:val="22"/>
                <w:szCs w:val="22"/>
              </w:rPr>
              <w:t>X</w:t>
            </w:r>
          </w:p>
        </w:tc>
      </w:tr>
      <w:tr w:rsidR="005F30C3" w:rsidRPr="009F7CED" w14:paraId="6FF401B8"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134CBD9C" w14:textId="77777777" w:rsidR="005F30C3" w:rsidRDefault="005F30C3" w:rsidP="00D05B67">
            <w:pPr>
              <w:jc w:val="both"/>
              <w:rPr>
                <w:rFonts w:cs="Arial"/>
                <w:sz w:val="22"/>
                <w:szCs w:val="22"/>
              </w:rPr>
            </w:pPr>
            <w:r>
              <w:rPr>
                <w:rFonts w:cs="Arial"/>
                <w:sz w:val="22"/>
                <w:szCs w:val="22"/>
              </w:rPr>
              <w:t>Concepto de Abogacía de la Competencia de la Superintendencia de Industria y Comercio</w:t>
            </w:r>
          </w:p>
          <w:p w14:paraId="0212D055" w14:textId="77777777" w:rsidR="005F30C3" w:rsidRPr="00084B49" w:rsidRDefault="005F30C3" w:rsidP="00D05B67">
            <w:pPr>
              <w:jc w:val="both"/>
              <w:rPr>
                <w:rFonts w:cs="Arial"/>
                <w:i/>
                <w:color w:val="808080"/>
                <w:sz w:val="22"/>
                <w:szCs w:val="22"/>
              </w:rPr>
            </w:pPr>
            <w:r w:rsidRPr="00084B49">
              <w:rPr>
                <w:rFonts w:cs="Arial"/>
                <w:i/>
                <w:color w:val="808080"/>
                <w:szCs w:val="22"/>
              </w:rPr>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FFFFFF"/>
            <w:vAlign w:val="center"/>
          </w:tcPr>
          <w:p w14:paraId="26CF0B5F" w14:textId="3FA7945E" w:rsidR="005F30C3" w:rsidRDefault="00312DA1" w:rsidP="00D05B67">
            <w:pPr>
              <w:jc w:val="both"/>
              <w:rPr>
                <w:rFonts w:cs="Arial"/>
                <w:sz w:val="22"/>
                <w:szCs w:val="22"/>
              </w:rPr>
            </w:pPr>
            <w:r>
              <w:rPr>
                <w:rFonts w:cs="Arial"/>
                <w:i/>
                <w:color w:val="808080"/>
                <w:sz w:val="22"/>
                <w:szCs w:val="22"/>
              </w:rPr>
              <w:t>N/A</w:t>
            </w:r>
          </w:p>
        </w:tc>
      </w:tr>
      <w:tr w:rsidR="005F30C3" w:rsidRPr="009F7CED" w14:paraId="1DA20083"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7EF2E840" w14:textId="77777777" w:rsidR="005F30C3" w:rsidRDefault="005F30C3" w:rsidP="00D05B67">
            <w:pPr>
              <w:jc w:val="both"/>
              <w:rPr>
                <w:rFonts w:cs="Arial"/>
                <w:sz w:val="22"/>
                <w:szCs w:val="22"/>
              </w:rPr>
            </w:pPr>
            <w:r>
              <w:rPr>
                <w:rFonts w:cs="Arial"/>
                <w:sz w:val="22"/>
                <w:szCs w:val="22"/>
              </w:rPr>
              <w:t>Concepto de aprobación nuevos trámites del Departamento Administrativo de la Función Pública</w:t>
            </w:r>
          </w:p>
          <w:p w14:paraId="47C4DB8E" w14:textId="77777777" w:rsidR="005F30C3" w:rsidRDefault="005F30C3" w:rsidP="00D05B67">
            <w:pPr>
              <w:jc w:val="both"/>
              <w:rPr>
                <w:rFonts w:cs="Arial"/>
                <w:sz w:val="22"/>
                <w:szCs w:val="22"/>
              </w:rPr>
            </w:pPr>
            <w:r w:rsidRPr="00084B49">
              <w:rPr>
                <w:rFonts w:cs="Arial"/>
                <w:i/>
                <w:color w:val="808080"/>
                <w:szCs w:val="22"/>
              </w:rPr>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FFFFFF"/>
            <w:vAlign w:val="center"/>
          </w:tcPr>
          <w:p w14:paraId="6627BD9C" w14:textId="0056AE86" w:rsidR="005F30C3" w:rsidRDefault="00312DA1" w:rsidP="00D05B67">
            <w:pPr>
              <w:jc w:val="both"/>
              <w:rPr>
                <w:rFonts w:cs="Arial"/>
                <w:sz w:val="22"/>
                <w:szCs w:val="22"/>
              </w:rPr>
            </w:pPr>
            <w:r>
              <w:rPr>
                <w:rFonts w:cs="Arial"/>
                <w:i/>
                <w:color w:val="808080"/>
                <w:sz w:val="22"/>
                <w:szCs w:val="22"/>
              </w:rPr>
              <w:t>N/A</w:t>
            </w:r>
          </w:p>
        </w:tc>
      </w:tr>
      <w:tr w:rsidR="005F30C3" w:rsidRPr="009F7CED" w14:paraId="730E5572"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6AFA5836" w14:textId="77777777" w:rsidR="005F30C3" w:rsidRDefault="005F30C3" w:rsidP="00084B49">
            <w:pPr>
              <w:jc w:val="both"/>
              <w:rPr>
                <w:rFonts w:cs="Arial"/>
                <w:sz w:val="22"/>
                <w:szCs w:val="22"/>
              </w:rPr>
            </w:pPr>
            <w:r>
              <w:rPr>
                <w:rFonts w:cs="Arial"/>
                <w:sz w:val="22"/>
                <w:szCs w:val="22"/>
              </w:rPr>
              <w:t xml:space="preserve">Otro </w:t>
            </w:r>
          </w:p>
          <w:p w14:paraId="2116F96B" w14:textId="77777777" w:rsidR="005F30C3" w:rsidRDefault="005F30C3" w:rsidP="00084B49">
            <w:pPr>
              <w:jc w:val="both"/>
              <w:rPr>
                <w:rFonts w:cs="Arial"/>
                <w:sz w:val="22"/>
                <w:szCs w:val="22"/>
              </w:rPr>
            </w:pPr>
            <w:r w:rsidRPr="00084B49">
              <w:rPr>
                <w:rFonts w:cs="Arial"/>
                <w:i/>
                <w:color w:val="808080"/>
                <w:szCs w:val="22"/>
              </w:rPr>
              <w:t>(Cualquier otro aspecto que la entidad originadora de la norma considere relevante o de importancia)</w:t>
            </w:r>
          </w:p>
        </w:tc>
        <w:tc>
          <w:tcPr>
            <w:tcW w:w="3119" w:type="dxa"/>
            <w:tcBorders>
              <w:top w:val="single" w:sz="4" w:space="0" w:color="auto"/>
              <w:left w:val="single" w:sz="4" w:space="0" w:color="auto"/>
              <w:bottom w:val="single" w:sz="4" w:space="0" w:color="auto"/>
            </w:tcBorders>
            <w:shd w:val="clear" w:color="auto" w:fill="FFFFFF"/>
            <w:vAlign w:val="center"/>
          </w:tcPr>
          <w:p w14:paraId="096B43A2" w14:textId="79BD566E" w:rsidR="005F30C3" w:rsidRDefault="00312DA1" w:rsidP="00D05B67">
            <w:pPr>
              <w:jc w:val="both"/>
              <w:rPr>
                <w:rFonts w:cs="Arial"/>
                <w:sz w:val="22"/>
                <w:szCs w:val="22"/>
              </w:rPr>
            </w:pPr>
            <w:r>
              <w:rPr>
                <w:rFonts w:cs="Arial"/>
                <w:i/>
                <w:color w:val="808080"/>
                <w:sz w:val="22"/>
                <w:szCs w:val="22"/>
              </w:rPr>
              <w:t>N/A</w:t>
            </w:r>
          </w:p>
        </w:tc>
      </w:tr>
    </w:tbl>
    <w:p w14:paraId="07F0EE14" w14:textId="77777777" w:rsidR="00301DC2" w:rsidRPr="009F7CED" w:rsidRDefault="00301DC2" w:rsidP="00587695">
      <w:pPr>
        <w:ind w:right="-377"/>
        <w:jc w:val="both"/>
        <w:rPr>
          <w:rFonts w:cs="Arial"/>
          <w:sz w:val="22"/>
          <w:szCs w:val="22"/>
        </w:rPr>
      </w:pPr>
    </w:p>
    <w:p w14:paraId="40EA2BE3" w14:textId="77777777" w:rsidR="00B66D03" w:rsidRPr="00D05B67" w:rsidRDefault="000B30A6" w:rsidP="00696582">
      <w:pPr>
        <w:ind w:left="-1276" w:right="-377" w:firstLine="283"/>
        <w:jc w:val="both"/>
        <w:rPr>
          <w:rFonts w:cs="Arial"/>
          <w:b/>
          <w:sz w:val="22"/>
          <w:szCs w:val="22"/>
        </w:rPr>
      </w:pPr>
      <w:r w:rsidRPr="00D05B67">
        <w:rPr>
          <w:rFonts w:cs="Arial"/>
          <w:b/>
          <w:sz w:val="22"/>
          <w:szCs w:val="22"/>
        </w:rPr>
        <w:t>Aprobó</w:t>
      </w:r>
      <w:r w:rsidR="00CB4D37" w:rsidRPr="00D05B67">
        <w:rPr>
          <w:rFonts w:cs="Arial"/>
          <w:b/>
          <w:sz w:val="22"/>
          <w:szCs w:val="22"/>
        </w:rPr>
        <w:t>:</w:t>
      </w:r>
    </w:p>
    <w:p w14:paraId="61122F76" w14:textId="77777777" w:rsidR="007E4CE3" w:rsidRPr="009F7CED" w:rsidRDefault="007E4CE3" w:rsidP="00086B16">
      <w:pPr>
        <w:ind w:left="-1276" w:right="-377"/>
        <w:jc w:val="both"/>
        <w:rPr>
          <w:rFonts w:cs="Arial"/>
          <w:sz w:val="22"/>
          <w:szCs w:val="22"/>
        </w:rPr>
      </w:pPr>
    </w:p>
    <w:p w14:paraId="11B39FE8" w14:textId="77777777" w:rsidR="00014D67" w:rsidRDefault="00014D67" w:rsidP="00086B16">
      <w:pPr>
        <w:ind w:left="-1276" w:right="-377"/>
        <w:jc w:val="both"/>
        <w:rPr>
          <w:rFonts w:cs="Arial"/>
          <w:sz w:val="22"/>
          <w:szCs w:val="22"/>
        </w:rPr>
      </w:pPr>
    </w:p>
    <w:p w14:paraId="28964EEE" w14:textId="295ECF4A" w:rsidR="00312DA1" w:rsidRPr="009F7CED" w:rsidRDefault="00312DA1" w:rsidP="00086B16">
      <w:pPr>
        <w:ind w:left="-1276" w:right="-377"/>
        <w:jc w:val="both"/>
        <w:rPr>
          <w:rFonts w:cs="Arial"/>
          <w:sz w:val="22"/>
          <w:szCs w:val="22"/>
        </w:rPr>
      </w:pPr>
      <w:r>
        <w:rPr>
          <w:rFonts w:cs="Arial"/>
          <w:sz w:val="22"/>
          <w:szCs w:val="22"/>
        </w:rPr>
        <w:tab/>
      </w:r>
    </w:p>
    <w:p w14:paraId="6A2E563E" w14:textId="77777777" w:rsidR="00312DA1" w:rsidRPr="00312DA1" w:rsidRDefault="00312DA1" w:rsidP="00312DA1">
      <w:pPr>
        <w:pStyle w:val="Listavistosa-nfasis11"/>
        <w:jc w:val="both"/>
        <w:rPr>
          <w:rFonts w:ascii="Arial" w:hAnsi="Arial" w:cs="Arial"/>
          <w:b/>
        </w:rPr>
      </w:pPr>
      <w:r w:rsidRPr="00312DA1">
        <w:rPr>
          <w:rFonts w:ascii="Arial" w:hAnsi="Arial" w:cs="Arial"/>
          <w:b/>
        </w:rPr>
        <w:t>WILMER ANDRÉS PACHÓN GONZALEZ</w:t>
      </w:r>
    </w:p>
    <w:p w14:paraId="0EAF8249" w14:textId="77777777" w:rsidR="00312DA1" w:rsidRPr="00312DA1" w:rsidRDefault="00312DA1" w:rsidP="00312DA1">
      <w:pPr>
        <w:pStyle w:val="Listavistosa-nfasis11"/>
        <w:jc w:val="both"/>
        <w:rPr>
          <w:rFonts w:ascii="Arial" w:hAnsi="Arial" w:cs="Arial"/>
          <w:b/>
        </w:rPr>
      </w:pPr>
      <w:r w:rsidRPr="00312DA1">
        <w:rPr>
          <w:rFonts w:ascii="Arial" w:hAnsi="Arial" w:cs="Arial"/>
          <w:b/>
        </w:rPr>
        <w:t>Jefe de la Oficina Asesora Jurídica</w:t>
      </w:r>
    </w:p>
    <w:p w14:paraId="7E25E45C" w14:textId="77777777" w:rsidR="00312DA1" w:rsidRPr="00312DA1" w:rsidRDefault="00312DA1" w:rsidP="00312DA1">
      <w:pPr>
        <w:pStyle w:val="Listavistosa-nfasis11"/>
        <w:jc w:val="both"/>
        <w:rPr>
          <w:rFonts w:ascii="Arial" w:hAnsi="Arial" w:cs="Arial"/>
          <w:b/>
        </w:rPr>
      </w:pPr>
      <w:r w:rsidRPr="00312DA1">
        <w:rPr>
          <w:rFonts w:ascii="Arial" w:hAnsi="Arial" w:cs="Arial"/>
          <w:b/>
        </w:rPr>
        <w:t>Ministerio del Trabajo</w:t>
      </w:r>
    </w:p>
    <w:p w14:paraId="0EB6A652" w14:textId="77777777" w:rsidR="00312DA1" w:rsidRPr="00312DA1" w:rsidRDefault="00312DA1" w:rsidP="00312DA1">
      <w:pPr>
        <w:pStyle w:val="Listavistosa-nfasis11"/>
        <w:jc w:val="both"/>
        <w:rPr>
          <w:rFonts w:ascii="Arial" w:hAnsi="Arial" w:cs="Arial"/>
          <w:b/>
        </w:rPr>
      </w:pPr>
    </w:p>
    <w:p w14:paraId="101745E0" w14:textId="77777777" w:rsidR="00312DA1" w:rsidRPr="00312DA1" w:rsidRDefault="00312DA1" w:rsidP="00312DA1">
      <w:pPr>
        <w:pStyle w:val="Listavistosa-nfasis11"/>
        <w:jc w:val="both"/>
        <w:rPr>
          <w:rFonts w:ascii="Arial" w:hAnsi="Arial" w:cs="Arial"/>
          <w:b/>
        </w:rPr>
      </w:pPr>
    </w:p>
    <w:p w14:paraId="67E04AAF" w14:textId="77777777" w:rsidR="00312DA1" w:rsidRPr="00312DA1" w:rsidRDefault="00312DA1" w:rsidP="00312DA1">
      <w:pPr>
        <w:pStyle w:val="Listavistosa-nfasis11"/>
        <w:jc w:val="both"/>
        <w:rPr>
          <w:rFonts w:ascii="Arial" w:hAnsi="Arial" w:cs="Arial"/>
          <w:b/>
        </w:rPr>
      </w:pPr>
    </w:p>
    <w:p w14:paraId="229E1124" w14:textId="77777777" w:rsidR="00312DA1" w:rsidRPr="00312DA1" w:rsidRDefault="00312DA1" w:rsidP="00312DA1">
      <w:pPr>
        <w:pStyle w:val="Listavistosa-nfasis11"/>
        <w:jc w:val="both"/>
        <w:rPr>
          <w:rFonts w:ascii="Arial" w:hAnsi="Arial" w:cs="Arial"/>
          <w:b/>
        </w:rPr>
      </w:pPr>
    </w:p>
    <w:p w14:paraId="25044555" w14:textId="77777777" w:rsidR="00312DA1" w:rsidRPr="00312DA1" w:rsidRDefault="00312DA1" w:rsidP="00312DA1">
      <w:pPr>
        <w:pStyle w:val="Listavistosa-nfasis11"/>
        <w:jc w:val="both"/>
        <w:rPr>
          <w:rFonts w:ascii="Arial" w:hAnsi="Arial" w:cs="Arial"/>
          <w:b/>
        </w:rPr>
      </w:pPr>
    </w:p>
    <w:p w14:paraId="2FE48AA6" w14:textId="77777777" w:rsidR="00312DA1" w:rsidRPr="00312DA1" w:rsidRDefault="00312DA1" w:rsidP="00312DA1">
      <w:pPr>
        <w:pStyle w:val="Listavistosa-nfasis11"/>
        <w:jc w:val="both"/>
        <w:rPr>
          <w:rFonts w:ascii="Arial" w:hAnsi="Arial" w:cs="Arial"/>
          <w:b/>
        </w:rPr>
      </w:pPr>
      <w:r w:rsidRPr="00312DA1">
        <w:rPr>
          <w:rFonts w:ascii="Arial" w:hAnsi="Arial" w:cs="Arial"/>
          <w:b/>
        </w:rPr>
        <w:t>CLAUDIA MÓNICA NARANJO LONDOÑO</w:t>
      </w:r>
    </w:p>
    <w:p w14:paraId="6DA7C1B1" w14:textId="77777777" w:rsidR="00312DA1" w:rsidRPr="00312DA1" w:rsidRDefault="00312DA1" w:rsidP="00312DA1">
      <w:pPr>
        <w:pStyle w:val="Listavistosa-nfasis11"/>
        <w:jc w:val="both"/>
        <w:rPr>
          <w:rFonts w:ascii="Arial" w:hAnsi="Arial" w:cs="Arial"/>
          <w:b/>
        </w:rPr>
      </w:pPr>
      <w:r w:rsidRPr="00312DA1">
        <w:rPr>
          <w:rFonts w:ascii="Arial" w:hAnsi="Arial" w:cs="Arial"/>
          <w:b/>
        </w:rPr>
        <w:t>Directora</w:t>
      </w:r>
    </w:p>
    <w:p w14:paraId="57BE96C4" w14:textId="77777777" w:rsidR="00312DA1" w:rsidRPr="00312DA1" w:rsidRDefault="00312DA1" w:rsidP="00312DA1">
      <w:pPr>
        <w:pStyle w:val="Listavistosa-nfasis11"/>
        <w:jc w:val="both"/>
        <w:rPr>
          <w:rFonts w:ascii="Arial" w:hAnsi="Arial" w:cs="Arial"/>
          <w:b/>
        </w:rPr>
      </w:pPr>
      <w:r w:rsidRPr="00312DA1">
        <w:rPr>
          <w:rFonts w:ascii="Arial" w:hAnsi="Arial" w:cs="Arial"/>
          <w:b/>
        </w:rPr>
        <w:t>Dirección de Generación y Protección del Empleo y Subsidio Familiar</w:t>
      </w:r>
    </w:p>
    <w:p w14:paraId="7C9FADEE" w14:textId="40B8B89E" w:rsidR="006779DA" w:rsidRPr="0075705D" w:rsidRDefault="00312DA1" w:rsidP="00312DA1">
      <w:pPr>
        <w:pStyle w:val="Listavistosa-nfasis11"/>
        <w:jc w:val="both"/>
        <w:rPr>
          <w:rFonts w:ascii="Arial" w:hAnsi="Arial" w:cs="Arial"/>
          <w:b/>
        </w:rPr>
      </w:pPr>
      <w:r w:rsidRPr="00312DA1">
        <w:rPr>
          <w:rFonts w:ascii="Arial" w:hAnsi="Arial" w:cs="Arial"/>
          <w:b/>
        </w:rPr>
        <w:t>Ministerio del Trabajo</w:t>
      </w:r>
      <w:r w:rsidR="00D05B67">
        <w:t xml:space="preserve"> </w:t>
      </w:r>
    </w:p>
    <w:sectPr w:rsidR="006779DA" w:rsidRPr="0075705D" w:rsidSect="00696582">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616" w:right="1701" w:bottom="1115"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CA1E0" w14:textId="77777777" w:rsidR="00F20350" w:rsidRDefault="00F20350">
      <w:r>
        <w:separator/>
      </w:r>
    </w:p>
  </w:endnote>
  <w:endnote w:type="continuationSeparator" w:id="0">
    <w:p w14:paraId="233045E6" w14:textId="77777777" w:rsidR="00F20350" w:rsidRDefault="00F2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3FA7" w14:textId="77777777" w:rsidR="00965D5F" w:rsidRDefault="00965D5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8F7C" w14:textId="77777777" w:rsidR="00836C6A" w:rsidRDefault="00836C6A">
    <w:pPr>
      <w:pStyle w:val="Piedepgina"/>
      <w:jc w:val="right"/>
    </w:pPr>
    <w:r>
      <w:fldChar w:fldCharType="begin"/>
    </w:r>
    <w:r w:rsidR="000C5964">
      <w:instrText>PAGE</w:instrText>
    </w:r>
    <w:r>
      <w:instrText xml:space="preserve">   \* MERGEFORMAT</w:instrText>
    </w:r>
    <w:r>
      <w:fldChar w:fldCharType="separate"/>
    </w:r>
    <w:r w:rsidR="00C7145D">
      <w:rPr>
        <w:noProof/>
      </w:rPr>
      <w:t>2</w:t>
    </w:r>
    <w:r>
      <w:fldChar w:fldCharType="end"/>
    </w:r>
  </w:p>
  <w:p w14:paraId="53226DA6" w14:textId="77777777" w:rsidR="00F07A7D" w:rsidRPr="0084294E" w:rsidRDefault="00F07A7D" w:rsidP="00FA4A9E">
    <w:pPr>
      <w:pStyle w:val="Piedepgina"/>
      <w:jc w:val="center"/>
      <w:rPr>
        <w:sz w:val="18"/>
        <w:szCs w:val="18"/>
        <w:lang w:val="es-C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39BE" w14:textId="77777777" w:rsidR="00965D5F" w:rsidRDefault="00965D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F816C" w14:textId="77777777" w:rsidR="00F20350" w:rsidRDefault="00F20350">
      <w:r>
        <w:separator/>
      </w:r>
    </w:p>
  </w:footnote>
  <w:footnote w:type="continuationSeparator" w:id="0">
    <w:p w14:paraId="7C3F4329" w14:textId="77777777" w:rsidR="00F20350" w:rsidRDefault="00F20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BF36" w14:textId="36113847" w:rsidR="00965D5F" w:rsidRDefault="00965D5F">
    <w:pPr>
      <w:pStyle w:val="Encabezado"/>
    </w:pPr>
    <w:r>
      <w:rPr>
        <w:noProof/>
      </w:rPr>
      <w:pict w14:anchorId="1E5821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788626" o:spid="_x0000_s1026" type="#_x0000_t136" style="position:absolute;margin-left:0;margin-top:0;width:519.2pt;height:103.8pt;rotation:315;z-index:-251648000;mso-position-horizontal:center;mso-position-horizontal-relative:margin;mso-position-vertical:center;mso-position-vertical-relative:margin" o:allowincell="f" fillcolor="gray [1629]" stroked="f">
          <v:fill opacity=".5"/>
          <v:textpath style="font-family:&quot;Arial&quot;;font-size:1pt" string="BORRADO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896A" w14:textId="0089F368" w:rsidR="00F07A7D" w:rsidRDefault="00965D5F">
    <w:pPr>
      <w:pStyle w:val="Encabezado"/>
    </w:pPr>
    <w:r>
      <w:rPr>
        <w:noProof/>
      </w:rPr>
      <w:pict w14:anchorId="38FA97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788627" o:spid="_x0000_s1027" type="#_x0000_t136" style="position:absolute;margin-left:0;margin-top:0;width:519.2pt;height:103.8pt;rotation:315;z-index:-251645952;mso-position-horizontal:center;mso-position-horizontal-relative:margin;mso-position-vertical:center;mso-position-vertical-relative:margin" o:allowincell="f" fillcolor="gray [1629]" stroked="f">
          <v:fill opacity=".5"/>
          <v:textpath style="font-family:&quot;Arial&quot;;font-size:1pt" string="BORRADOR"/>
        </v:shape>
      </w:pict>
    </w: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696582" w14:paraId="48448516" w14:textId="77777777" w:rsidTr="00EE2F54">
      <w:trPr>
        <w:trHeight w:val="1131"/>
      </w:trPr>
      <w:tc>
        <w:tcPr>
          <w:tcW w:w="4253" w:type="dxa"/>
          <w:shd w:val="clear" w:color="auto" w:fill="auto"/>
        </w:tcPr>
        <w:p w14:paraId="432B8AB7" w14:textId="12F3F63B" w:rsidR="00696582" w:rsidRDefault="00EE2F54" w:rsidP="001447C1">
          <w:pPr>
            <w:pStyle w:val="Encabezado"/>
          </w:pPr>
          <w:r>
            <w:rPr>
              <w:noProof/>
              <w:lang w:eastAsia="es-CO"/>
            </w:rPr>
            <w:drawing>
              <wp:anchor distT="0" distB="0" distL="114300" distR="114300" simplePos="0" relativeHeight="251662336" behindDoc="0" locked="0" layoutInCell="1" allowOverlap="1" wp14:anchorId="33B58A6A" wp14:editId="77A5D32E">
                <wp:simplePos x="0" y="0"/>
                <wp:positionH relativeFrom="page">
                  <wp:posOffset>10795</wp:posOffset>
                </wp:positionH>
                <wp:positionV relativeFrom="paragraph">
                  <wp:posOffset>7620</wp:posOffset>
                </wp:positionV>
                <wp:extent cx="1494790" cy="714375"/>
                <wp:effectExtent l="0" t="0" r="0" b="0"/>
                <wp:wrapNone/>
                <wp:docPr id="7" name="Imagen 7" descr="Fondo negro con letras blanc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Fondo negro con letras blancas&#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2987" t="2467" r="65649" b="88943"/>
                        <a:stretch/>
                      </pic:blipFill>
                      <pic:spPr bwMode="auto">
                        <a:xfrm>
                          <a:off x="0" y="0"/>
                          <a:ext cx="1494790" cy="714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EE389B1" wp14:editId="75BFA200">
                <wp:simplePos x="0" y="0"/>
                <wp:positionH relativeFrom="page">
                  <wp:posOffset>1477645</wp:posOffset>
                </wp:positionH>
                <wp:positionV relativeFrom="paragraph">
                  <wp:posOffset>198120</wp:posOffset>
                </wp:positionV>
                <wp:extent cx="1210310" cy="516890"/>
                <wp:effectExtent l="0" t="0" r="0" b="0"/>
                <wp:wrapNone/>
                <wp:docPr id="8" name="Imagen 8" descr="Fondo negro con letras blanc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ondo negro con letras blancas&#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l="72343" t="4361" r="12573" b="90660"/>
                        <a:stretch>
                          <a:fillRect/>
                        </a:stretch>
                      </pic:blipFill>
                      <pic:spPr bwMode="auto">
                        <a:xfrm>
                          <a:off x="0" y="0"/>
                          <a:ext cx="1210310" cy="5168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45" w:type="dxa"/>
          <w:shd w:val="clear" w:color="auto" w:fill="auto"/>
          <w:vAlign w:val="center"/>
        </w:tcPr>
        <w:p w14:paraId="787554D6" w14:textId="77777777" w:rsidR="00696582" w:rsidRDefault="00696582" w:rsidP="001447C1">
          <w:pPr>
            <w:pStyle w:val="Ttulo2"/>
            <w:ind w:left="72" w:right="72"/>
          </w:pPr>
          <w:r w:rsidRPr="00FD3D04">
            <w:rPr>
              <w:rFonts w:cs="Arial"/>
              <w:bCs/>
              <w:color w:val="000000"/>
              <w:sz w:val="24"/>
              <w:szCs w:val="24"/>
            </w:rPr>
            <w:t>FORMATO MEMORIA JUSTIFICATIVA</w:t>
          </w:r>
        </w:p>
      </w:tc>
    </w:tr>
  </w:tbl>
  <w:p w14:paraId="07B273D6" w14:textId="77777777" w:rsidR="00F07A7D" w:rsidRDefault="00F07A7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350767" w14:paraId="5B5262B2" w14:textId="77777777" w:rsidTr="00EE2F54">
      <w:trPr>
        <w:trHeight w:val="1131"/>
      </w:trPr>
      <w:tc>
        <w:tcPr>
          <w:tcW w:w="4253" w:type="dxa"/>
          <w:shd w:val="clear" w:color="auto" w:fill="auto"/>
        </w:tcPr>
        <w:p w14:paraId="16A3EFF1" w14:textId="66EBA210" w:rsidR="00350767" w:rsidRDefault="00EE2F54">
          <w:pPr>
            <w:pStyle w:val="Encabezado"/>
          </w:pPr>
          <w:r>
            <w:rPr>
              <w:noProof/>
            </w:rPr>
            <w:drawing>
              <wp:anchor distT="0" distB="0" distL="114300" distR="114300" simplePos="0" relativeHeight="251658240" behindDoc="0" locked="0" layoutInCell="1" allowOverlap="1" wp14:anchorId="5B04717C" wp14:editId="25A634CD">
                <wp:simplePos x="0" y="0"/>
                <wp:positionH relativeFrom="page">
                  <wp:posOffset>1469390</wp:posOffset>
                </wp:positionH>
                <wp:positionV relativeFrom="paragraph">
                  <wp:posOffset>205740</wp:posOffset>
                </wp:positionV>
                <wp:extent cx="1210310" cy="516890"/>
                <wp:effectExtent l="0" t="0" r="0" b="0"/>
                <wp:wrapNone/>
                <wp:docPr id="6" name="Imagen 6" descr="Fondo negro con letras blanc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ondo negro con letras blancas&#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l="72343" t="4361" r="12573" b="90660"/>
                        <a:stretch>
                          <a:fillRect/>
                        </a:stretch>
                      </pic:blipFill>
                      <pic:spPr bwMode="auto">
                        <a:xfrm>
                          <a:off x="0" y="0"/>
                          <a:ext cx="1210310" cy="5168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45" w:type="dxa"/>
          <w:shd w:val="clear" w:color="auto" w:fill="auto"/>
          <w:vAlign w:val="center"/>
        </w:tcPr>
        <w:p w14:paraId="2A38AD05" w14:textId="77777777" w:rsidR="00350767" w:rsidRDefault="00350767" w:rsidP="00FD3D04">
          <w:pPr>
            <w:pStyle w:val="Ttulo2"/>
            <w:ind w:left="72" w:right="72"/>
          </w:pPr>
          <w:r w:rsidRPr="00FD3D04">
            <w:rPr>
              <w:rFonts w:cs="Arial"/>
              <w:bCs/>
              <w:color w:val="000000"/>
              <w:sz w:val="24"/>
              <w:szCs w:val="24"/>
            </w:rPr>
            <w:t>FORMATO MEMORIA JUSTIFICATIVA</w:t>
          </w:r>
        </w:p>
      </w:tc>
    </w:tr>
  </w:tbl>
  <w:p w14:paraId="02A12441" w14:textId="0CE45E24" w:rsidR="00350767" w:rsidRDefault="00965D5F">
    <w:pPr>
      <w:pStyle w:val="Encabezado"/>
    </w:pPr>
    <w:r>
      <w:rPr>
        <w:noProof/>
      </w:rPr>
      <w:pict w14:anchorId="00530B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788625" o:spid="_x0000_s1025" type="#_x0000_t136" style="position:absolute;margin-left:0;margin-top:0;width:519.2pt;height:103.8pt;rotation:315;z-index:-251650048;mso-position-horizontal:center;mso-position-horizontal-relative:margin;mso-position-vertical:center;mso-position-vertical-relative:margin" o:allowincell="f" fillcolor="gray [1629]" stroked="f">
          <v:fill opacity=".5"/>
          <v:textpath style="font-family:&quot;Arial&quot;;font-size:1pt" string="BORRADOR"/>
        </v:shape>
      </w:pict>
    </w:r>
    <w:r w:rsidR="00EE2F54">
      <w:rPr>
        <w:noProof/>
        <w:lang w:eastAsia="es-CO"/>
      </w:rPr>
      <w:drawing>
        <wp:anchor distT="0" distB="0" distL="114300" distR="114300" simplePos="0" relativeHeight="251660288" behindDoc="0" locked="0" layoutInCell="1" allowOverlap="1" wp14:anchorId="6104F32D" wp14:editId="001DBB4D">
          <wp:simplePos x="0" y="0"/>
          <wp:positionH relativeFrom="page">
            <wp:posOffset>485590</wp:posOffset>
          </wp:positionH>
          <wp:positionV relativeFrom="paragraph">
            <wp:posOffset>-721201</wp:posOffset>
          </wp:positionV>
          <wp:extent cx="1494913" cy="714375"/>
          <wp:effectExtent l="0" t="0" r="0" b="0"/>
          <wp:wrapNone/>
          <wp:docPr id="3" name="Imagen 3" descr="Fondo negro con letras blanc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Fondo negro con letras blancas&#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2987" t="2467" r="65649" b="88943"/>
                  <a:stretch/>
                </pic:blipFill>
                <pic:spPr bwMode="auto">
                  <a:xfrm>
                    <a:off x="0" y="0"/>
                    <a:ext cx="1494913" cy="714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1F71"/>
    <w:multiLevelType w:val="hybridMultilevel"/>
    <w:tmpl w:val="E220938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937E34"/>
    <w:multiLevelType w:val="hybridMultilevel"/>
    <w:tmpl w:val="EBC2F2E6"/>
    <w:lvl w:ilvl="0" w:tplc="D3C24856">
      <w:numFmt w:val="bullet"/>
      <w:lvlText w:val="-"/>
      <w:lvlJc w:val="left"/>
      <w:pPr>
        <w:ind w:left="360" w:hanging="360"/>
      </w:pPr>
      <w:rPr>
        <w:rFonts w:ascii="Arial" w:eastAsia="Arial Unicode MS" w:hAnsi="Arial" w:cs="Arial" w:hint="default"/>
      </w:rPr>
    </w:lvl>
    <w:lvl w:ilvl="1" w:tplc="240A000D">
      <w:start w:val="1"/>
      <w:numFmt w:val="bullet"/>
      <w:lvlText w:val=""/>
      <w:lvlJc w:val="left"/>
      <w:pPr>
        <w:ind w:left="1080" w:hanging="360"/>
      </w:pPr>
      <w:rPr>
        <w:rFonts w:ascii="Wingdings" w:hAnsi="Wingdings"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 w15:restartNumberingAfterBreak="0">
    <w:nsid w:val="0DE945B7"/>
    <w:multiLevelType w:val="hybridMultilevel"/>
    <w:tmpl w:val="9BA8E9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7F2FD2"/>
    <w:multiLevelType w:val="hybridMultilevel"/>
    <w:tmpl w:val="23780C54"/>
    <w:lvl w:ilvl="0" w:tplc="7122AF36">
      <w:start w:val="1"/>
      <w:numFmt w:val="decimal"/>
      <w:lvlText w:val="%1."/>
      <w:lvlJc w:val="left"/>
      <w:pPr>
        <w:ind w:left="720" w:hanging="360"/>
      </w:pPr>
      <w:rPr>
        <w:rFonts w:ascii="Arial" w:eastAsia="Calibri" w:hAnsi="Arial" w:cs="Arial" w:hint="default"/>
        <w:b/>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8D43E1"/>
    <w:multiLevelType w:val="hybridMultilevel"/>
    <w:tmpl w:val="3E3C0C3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80077F4"/>
    <w:multiLevelType w:val="hybridMultilevel"/>
    <w:tmpl w:val="471ED7F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B331E40"/>
    <w:multiLevelType w:val="hybridMultilevel"/>
    <w:tmpl w:val="7EB8E8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225D5"/>
    <w:multiLevelType w:val="hybridMultilevel"/>
    <w:tmpl w:val="2752FB6E"/>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15:restartNumberingAfterBreak="0">
    <w:nsid w:val="1F7F7418"/>
    <w:multiLevelType w:val="hybridMultilevel"/>
    <w:tmpl w:val="561034C0"/>
    <w:lvl w:ilvl="0" w:tplc="C688F99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5CC3AAB"/>
    <w:multiLevelType w:val="hybridMultilevel"/>
    <w:tmpl w:val="C72A38F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E30D56"/>
    <w:multiLevelType w:val="hybridMultilevel"/>
    <w:tmpl w:val="B512F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C7D6525"/>
    <w:multiLevelType w:val="hybridMultilevel"/>
    <w:tmpl w:val="14323D5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C8D575C"/>
    <w:multiLevelType w:val="hybridMultilevel"/>
    <w:tmpl w:val="903E42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FC438A4"/>
    <w:multiLevelType w:val="hybridMultilevel"/>
    <w:tmpl w:val="CC544A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17AA6"/>
    <w:multiLevelType w:val="hybridMultilevel"/>
    <w:tmpl w:val="78BE8B20"/>
    <w:lvl w:ilvl="0" w:tplc="D10EA2F8">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8333F05"/>
    <w:multiLevelType w:val="hybridMultilevel"/>
    <w:tmpl w:val="DBDC35E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96341FF"/>
    <w:multiLevelType w:val="multilevel"/>
    <w:tmpl w:val="078847B8"/>
    <w:lvl w:ilvl="0">
      <w:start w:val="2"/>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7C7321"/>
    <w:multiLevelType w:val="hybridMultilevel"/>
    <w:tmpl w:val="EF704034"/>
    <w:lvl w:ilvl="0" w:tplc="3AAE91AA">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F32023"/>
    <w:multiLevelType w:val="hybridMultilevel"/>
    <w:tmpl w:val="E91C692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40A3792D"/>
    <w:multiLevelType w:val="hybridMultilevel"/>
    <w:tmpl w:val="1150A7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9127B63"/>
    <w:multiLevelType w:val="hybridMultilevel"/>
    <w:tmpl w:val="7BC80F2C"/>
    <w:lvl w:ilvl="0" w:tplc="FFFFFFFF">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FE38A9"/>
    <w:multiLevelType w:val="hybridMultilevel"/>
    <w:tmpl w:val="B6C654B2"/>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15:restartNumberingAfterBreak="0">
    <w:nsid w:val="4D811299"/>
    <w:multiLevelType w:val="hybridMultilevel"/>
    <w:tmpl w:val="4CAE1F3E"/>
    <w:lvl w:ilvl="0" w:tplc="C5F83004">
      <w:start w:val="1440"/>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820AD0"/>
    <w:multiLevelType w:val="hybridMultilevel"/>
    <w:tmpl w:val="44084084"/>
    <w:lvl w:ilvl="0" w:tplc="240A000D">
      <w:start w:val="1"/>
      <w:numFmt w:val="bullet"/>
      <w:lvlText w:val=""/>
      <w:lvlJc w:val="left"/>
      <w:pPr>
        <w:ind w:left="-1020" w:hanging="360"/>
      </w:pPr>
      <w:rPr>
        <w:rFonts w:ascii="Wingdings" w:hAnsi="Wingdings" w:hint="default"/>
      </w:rPr>
    </w:lvl>
    <w:lvl w:ilvl="1" w:tplc="240A0003" w:tentative="1">
      <w:start w:val="1"/>
      <w:numFmt w:val="bullet"/>
      <w:lvlText w:val="o"/>
      <w:lvlJc w:val="left"/>
      <w:pPr>
        <w:ind w:left="-300" w:hanging="360"/>
      </w:pPr>
      <w:rPr>
        <w:rFonts w:ascii="Courier New" w:hAnsi="Courier New" w:cs="Courier New" w:hint="default"/>
      </w:rPr>
    </w:lvl>
    <w:lvl w:ilvl="2" w:tplc="240A0005" w:tentative="1">
      <w:start w:val="1"/>
      <w:numFmt w:val="bullet"/>
      <w:lvlText w:val=""/>
      <w:lvlJc w:val="left"/>
      <w:pPr>
        <w:ind w:left="420" w:hanging="360"/>
      </w:pPr>
      <w:rPr>
        <w:rFonts w:ascii="Wingdings" w:hAnsi="Wingdings" w:hint="default"/>
      </w:rPr>
    </w:lvl>
    <w:lvl w:ilvl="3" w:tplc="240A0001" w:tentative="1">
      <w:start w:val="1"/>
      <w:numFmt w:val="bullet"/>
      <w:lvlText w:val=""/>
      <w:lvlJc w:val="left"/>
      <w:pPr>
        <w:ind w:left="1140" w:hanging="360"/>
      </w:pPr>
      <w:rPr>
        <w:rFonts w:ascii="Symbol" w:hAnsi="Symbol" w:hint="default"/>
      </w:rPr>
    </w:lvl>
    <w:lvl w:ilvl="4" w:tplc="240A0003" w:tentative="1">
      <w:start w:val="1"/>
      <w:numFmt w:val="bullet"/>
      <w:lvlText w:val="o"/>
      <w:lvlJc w:val="left"/>
      <w:pPr>
        <w:ind w:left="1860" w:hanging="360"/>
      </w:pPr>
      <w:rPr>
        <w:rFonts w:ascii="Courier New" w:hAnsi="Courier New" w:cs="Courier New" w:hint="default"/>
      </w:rPr>
    </w:lvl>
    <w:lvl w:ilvl="5" w:tplc="240A0005" w:tentative="1">
      <w:start w:val="1"/>
      <w:numFmt w:val="bullet"/>
      <w:lvlText w:val=""/>
      <w:lvlJc w:val="left"/>
      <w:pPr>
        <w:ind w:left="2580" w:hanging="360"/>
      </w:pPr>
      <w:rPr>
        <w:rFonts w:ascii="Wingdings" w:hAnsi="Wingdings" w:hint="default"/>
      </w:rPr>
    </w:lvl>
    <w:lvl w:ilvl="6" w:tplc="240A0001" w:tentative="1">
      <w:start w:val="1"/>
      <w:numFmt w:val="bullet"/>
      <w:lvlText w:val=""/>
      <w:lvlJc w:val="left"/>
      <w:pPr>
        <w:ind w:left="3300" w:hanging="360"/>
      </w:pPr>
      <w:rPr>
        <w:rFonts w:ascii="Symbol" w:hAnsi="Symbol" w:hint="default"/>
      </w:rPr>
    </w:lvl>
    <w:lvl w:ilvl="7" w:tplc="240A0003" w:tentative="1">
      <w:start w:val="1"/>
      <w:numFmt w:val="bullet"/>
      <w:lvlText w:val="o"/>
      <w:lvlJc w:val="left"/>
      <w:pPr>
        <w:ind w:left="4020" w:hanging="360"/>
      </w:pPr>
      <w:rPr>
        <w:rFonts w:ascii="Courier New" w:hAnsi="Courier New" w:cs="Courier New" w:hint="default"/>
      </w:rPr>
    </w:lvl>
    <w:lvl w:ilvl="8" w:tplc="240A0005" w:tentative="1">
      <w:start w:val="1"/>
      <w:numFmt w:val="bullet"/>
      <w:lvlText w:val=""/>
      <w:lvlJc w:val="left"/>
      <w:pPr>
        <w:ind w:left="4740" w:hanging="360"/>
      </w:pPr>
      <w:rPr>
        <w:rFonts w:ascii="Wingdings" w:hAnsi="Wingdings" w:hint="default"/>
      </w:rPr>
    </w:lvl>
  </w:abstractNum>
  <w:abstractNum w:abstractNumId="25" w15:restartNumberingAfterBreak="0">
    <w:nsid w:val="55612A01"/>
    <w:multiLevelType w:val="hybridMultilevel"/>
    <w:tmpl w:val="516C2342"/>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6" w15:restartNumberingAfterBreak="0">
    <w:nsid w:val="56C63FAB"/>
    <w:multiLevelType w:val="hybridMultilevel"/>
    <w:tmpl w:val="4B266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988006D"/>
    <w:multiLevelType w:val="hybridMultilevel"/>
    <w:tmpl w:val="1F986C7A"/>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8" w15:restartNumberingAfterBreak="0">
    <w:nsid w:val="599274BB"/>
    <w:multiLevelType w:val="hybridMultilevel"/>
    <w:tmpl w:val="19B6D6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5AC27BD1"/>
    <w:multiLevelType w:val="hybridMultilevel"/>
    <w:tmpl w:val="B00A22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D4163EC"/>
    <w:multiLevelType w:val="hybridMultilevel"/>
    <w:tmpl w:val="2B166F1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5F423FF4"/>
    <w:multiLevelType w:val="multilevel"/>
    <w:tmpl w:val="60C2505A"/>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60682FB7"/>
    <w:multiLevelType w:val="hybridMultilevel"/>
    <w:tmpl w:val="6EB8E7D0"/>
    <w:lvl w:ilvl="0" w:tplc="0C0A000F">
      <w:start w:val="1"/>
      <w:numFmt w:val="decimal"/>
      <w:lvlText w:val="%1."/>
      <w:lvlJc w:val="left"/>
      <w:pPr>
        <w:tabs>
          <w:tab w:val="num" w:pos="720"/>
        </w:tabs>
        <w:ind w:left="720" w:hanging="36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0A438E4"/>
    <w:multiLevelType w:val="hybridMultilevel"/>
    <w:tmpl w:val="1602CE3A"/>
    <w:lvl w:ilvl="0" w:tplc="BB08A936">
      <w:numFmt w:val="bullet"/>
      <w:lvlText w:val="-"/>
      <w:lvlJc w:val="left"/>
      <w:pPr>
        <w:ind w:left="322" w:hanging="360"/>
      </w:pPr>
      <w:rPr>
        <w:rFonts w:ascii="Arial" w:eastAsia="Times" w:hAnsi="Arial" w:cs="Arial" w:hint="default"/>
      </w:rPr>
    </w:lvl>
    <w:lvl w:ilvl="1" w:tplc="240A0003" w:tentative="1">
      <w:start w:val="1"/>
      <w:numFmt w:val="bullet"/>
      <w:lvlText w:val="o"/>
      <w:lvlJc w:val="left"/>
      <w:pPr>
        <w:ind w:left="1042" w:hanging="360"/>
      </w:pPr>
      <w:rPr>
        <w:rFonts w:ascii="Courier New" w:hAnsi="Courier New" w:cs="Courier New" w:hint="default"/>
      </w:rPr>
    </w:lvl>
    <w:lvl w:ilvl="2" w:tplc="240A0005" w:tentative="1">
      <w:start w:val="1"/>
      <w:numFmt w:val="bullet"/>
      <w:lvlText w:val=""/>
      <w:lvlJc w:val="left"/>
      <w:pPr>
        <w:ind w:left="1762" w:hanging="360"/>
      </w:pPr>
      <w:rPr>
        <w:rFonts w:ascii="Wingdings" w:hAnsi="Wingdings" w:hint="default"/>
      </w:rPr>
    </w:lvl>
    <w:lvl w:ilvl="3" w:tplc="240A0001" w:tentative="1">
      <w:start w:val="1"/>
      <w:numFmt w:val="bullet"/>
      <w:lvlText w:val=""/>
      <w:lvlJc w:val="left"/>
      <w:pPr>
        <w:ind w:left="2482" w:hanging="360"/>
      </w:pPr>
      <w:rPr>
        <w:rFonts w:ascii="Symbol" w:hAnsi="Symbol" w:hint="default"/>
      </w:rPr>
    </w:lvl>
    <w:lvl w:ilvl="4" w:tplc="240A0003" w:tentative="1">
      <w:start w:val="1"/>
      <w:numFmt w:val="bullet"/>
      <w:lvlText w:val="o"/>
      <w:lvlJc w:val="left"/>
      <w:pPr>
        <w:ind w:left="3202" w:hanging="360"/>
      </w:pPr>
      <w:rPr>
        <w:rFonts w:ascii="Courier New" w:hAnsi="Courier New" w:cs="Courier New" w:hint="default"/>
      </w:rPr>
    </w:lvl>
    <w:lvl w:ilvl="5" w:tplc="240A0005" w:tentative="1">
      <w:start w:val="1"/>
      <w:numFmt w:val="bullet"/>
      <w:lvlText w:val=""/>
      <w:lvlJc w:val="left"/>
      <w:pPr>
        <w:ind w:left="3922" w:hanging="360"/>
      </w:pPr>
      <w:rPr>
        <w:rFonts w:ascii="Wingdings" w:hAnsi="Wingdings" w:hint="default"/>
      </w:rPr>
    </w:lvl>
    <w:lvl w:ilvl="6" w:tplc="240A0001" w:tentative="1">
      <w:start w:val="1"/>
      <w:numFmt w:val="bullet"/>
      <w:lvlText w:val=""/>
      <w:lvlJc w:val="left"/>
      <w:pPr>
        <w:ind w:left="4642" w:hanging="360"/>
      </w:pPr>
      <w:rPr>
        <w:rFonts w:ascii="Symbol" w:hAnsi="Symbol" w:hint="default"/>
      </w:rPr>
    </w:lvl>
    <w:lvl w:ilvl="7" w:tplc="240A0003" w:tentative="1">
      <w:start w:val="1"/>
      <w:numFmt w:val="bullet"/>
      <w:lvlText w:val="o"/>
      <w:lvlJc w:val="left"/>
      <w:pPr>
        <w:ind w:left="5362" w:hanging="360"/>
      </w:pPr>
      <w:rPr>
        <w:rFonts w:ascii="Courier New" w:hAnsi="Courier New" w:cs="Courier New" w:hint="default"/>
      </w:rPr>
    </w:lvl>
    <w:lvl w:ilvl="8" w:tplc="240A0005" w:tentative="1">
      <w:start w:val="1"/>
      <w:numFmt w:val="bullet"/>
      <w:lvlText w:val=""/>
      <w:lvlJc w:val="left"/>
      <w:pPr>
        <w:ind w:left="6082" w:hanging="360"/>
      </w:pPr>
      <w:rPr>
        <w:rFonts w:ascii="Wingdings" w:hAnsi="Wingdings" w:hint="default"/>
      </w:rPr>
    </w:lvl>
  </w:abstractNum>
  <w:abstractNum w:abstractNumId="34" w15:restartNumberingAfterBreak="0">
    <w:nsid w:val="64573526"/>
    <w:multiLevelType w:val="hybridMultilevel"/>
    <w:tmpl w:val="665E973A"/>
    <w:lvl w:ilvl="0" w:tplc="2C08755A">
      <w:start w:val="1"/>
      <w:numFmt w:val="bullet"/>
      <w:lvlText w:val="•"/>
      <w:lvlJc w:val="left"/>
      <w:pPr>
        <w:tabs>
          <w:tab w:val="num" w:pos="999"/>
        </w:tabs>
        <w:ind w:left="999" w:hanging="360"/>
      </w:pPr>
      <w:rPr>
        <w:rFonts w:ascii="Arial" w:hAnsi="Arial" w:hint="default"/>
      </w:rPr>
    </w:lvl>
    <w:lvl w:ilvl="1" w:tplc="5AD0665A" w:tentative="1">
      <w:start w:val="1"/>
      <w:numFmt w:val="bullet"/>
      <w:lvlText w:val="•"/>
      <w:lvlJc w:val="left"/>
      <w:pPr>
        <w:tabs>
          <w:tab w:val="num" w:pos="1719"/>
        </w:tabs>
        <w:ind w:left="1719" w:hanging="360"/>
      </w:pPr>
      <w:rPr>
        <w:rFonts w:ascii="Arial" w:hAnsi="Arial" w:hint="default"/>
      </w:rPr>
    </w:lvl>
    <w:lvl w:ilvl="2" w:tplc="2AD44A04" w:tentative="1">
      <w:start w:val="1"/>
      <w:numFmt w:val="bullet"/>
      <w:lvlText w:val="•"/>
      <w:lvlJc w:val="left"/>
      <w:pPr>
        <w:tabs>
          <w:tab w:val="num" w:pos="2439"/>
        </w:tabs>
        <w:ind w:left="2439" w:hanging="360"/>
      </w:pPr>
      <w:rPr>
        <w:rFonts w:ascii="Arial" w:hAnsi="Arial" w:hint="default"/>
      </w:rPr>
    </w:lvl>
    <w:lvl w:ilvl="3" w:tplc="07082974" w:tentative="1">
      <w:start w:val="1"/>
      <w:numFmt w:val="bullet"/>
      <w:lvlText w:val="•"/>
      <w:lvlJc w:val="left"/>
      <w:pPr>
        <w:tabs>
          <w:tab w:val="num" w:pos="3159"/>
        </w:tabs>
        <w:ind w:left="3159" w:hanging="360"/>
      </w:pPr>
      <w:rPr>
        <w:rFonts w:ascii="Arial" w:hAnsi="Arial" w:hint="default"/>
      </w:rPr>
    </w:lvl>
    <w:lvl w:ilvl="4" w:tplc="CD76DC7C" w:tentative="1">
      <w:start w:val="1"/>
      <w:numFmt w:val="bullet"/>
      <w:lvlText w:val="•"/>
      <w:lvlJc w:val="left"/>
      <w:pPr>
        <w:tabs>
          <w:tab w:val="num" w:pos="3879"/>
        </w:tabs>
        <w:ind w:left="3879" w:hanging="360"/>
      </w:pPr>
      <w:rPr>
        <w:rFonts w:ascii="Arial" w:hAnsi="Arial" w:hint="default"/>
      </w:rPr>
    </w:lvl>
    <w:lvl w:ilvl="5" w:tplc="3D28A6E6" w:tentative="1">
      <w:start w:val="1"/>
      <w:numFmt w:val="bullet"/>
      <w:lvlText w:val="•"/>
      <w:lvlJc w:val="left"/>
      <w:pPr>
        <w:tabs>
          <w:tab w:val="num" w:pos="4599"/>
        </w:tabs>
        <w:ind w:left="4599" w:hanging="360"/>
      </w:pPr>
      <w:rPr>
        <w:rFonts w:ascii="Arial" w:hAnsi="Arial" w:hint="default"/>
      </w:rPr>
    </w:lvl>
    <w:lvl w:ilvl="6" w:tplc="590A4E18" w:tentative="1">
      <w:start w:val="1"/>
      <w:numFmt w:val="bullet"/>
      <w:lvlText w:val="•"/>
      <w:lvlJc w:val="left"/>
      <w:pPr>
        <w:tabs>
          <w:tab w:val="num" w:pos="5319"/>
        </w:tabs>
        <w:ind w:left="5319" w:hanging="360"/>
      </w:pPr>
      <w:rPr>
        <w:rFonts w:ascii="Arial" w:hAnsi="Arial" w:hint="default"/>
      </w:rPr>
    </w:lvl>
    <w:lvl w:ilvl="7" w:tplc="56BA76D8" w:tentative="1">
      <w:start w:val="1"/>
      <w:numFmt w:val="bullet"/>
      <w:lvlText w:val="•"/>
      <w:lvlJc w:val="left"/>
      <w:pPr>
        <w:tabs>
          <w:tab w:val="num" w:pos="6039"/>
        </w:tabs>
        <w:ind w:left="6039" w:hanging="360"/>
      </w:pPr>
      <w:rPr>
        <w:rFonts w:ascii="Arial" w:hAnsi="Arial" w:hint="default"/>
      </w:rPr>
    </w:lvl>
    <w:lvl w:ilvl="8" w:tplc="D56AD64E" w:tentative="1">
      <w:start w:val="1"/>
      <w:numFmt w:val="bullet"/>
      <w:lvlText w:val="•"/>
      <w:lvlJc w:val="left"/>
      <w:pPr>
        <w:tabs>
          <w:tab w:val="num" w:pos="6759"/>
        </w:tabs>
        <w:ind w:left="6759" w:hanging="360"/>
      </w:pPr>
      <w:rPr>
        <w:rFonts w:ascii="Arial" w:hAnsi="Arial" w:hint="default"/>
      </w:rPr>
    </w:lvl>
  </w:abstractNum>
  <w:abstractNum w:abstractNumId="35" w15:restartNumberingAfterBreak="0">
    <w:nsid w:val="65C86972"/>
    <w:multiLevelType w:val="hybridMultilevel"/>
    <w:tmpl w:val="EF60E5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82B19CB"/>
    <w:multiLevelType w:val="hybridMultilevel"/>
    <w:tmpl w:val="359E384C"/>
    <w:lvl w:ilvl="0" w:tplc="48043108">
      <w:start w:val="1"/>
      <w:numFmt w:val="decimal"/>
      <w:lvlText w:val="%1."/>
      <w:lvlJc w:val="left"/>
      <w:pPr>
        <w:ind w:left="360" w:hanging="360"/>
      </w:pPr>
      <w:rPr>
        <w:strike w:val="0"/>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7" w15:restartNumberingAfterBreak="0">
    <w:nsid w:val="6AFA48A5"/>
    <w:multiLevelType w:val="hybridMultilevel"/>
    <w:tmpl w:val="3E2221D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8547E6"/>
    <w:multiLevelType w:val="hybridMultilevel"/>
    <w:tmpl w:val="9F3404D0"/>
    <w:lvl w:ilvl="0" w:tplc="89D2AEF6">
      <w:start w:val="1"/>
      <w:numFmt w:val="upperRoman"/>
      <w:lvlText w:val="%1."/>
      <w:lvlJc w:val="left"/>
      <w:pPr>
        <w:tabs>
          <w:tab w:val="num" w:pos="1080"/>
        </w:tabs>
        <w:ind w:left="1080" w:hanging="72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FA64E9"/>
    <w:multiLevelType w:val="hybridMultilevel"/>
    <w:tmpl w:val="70E22AB2"/>
    <w:lvl w:ilvl="0" w:tplc="645EFEFA">
      <w:start w:val="1"/>
      <w:numFmt w:val="upperRoman"/>
      <w:lvlText w:val="%1."/>
      <w:lvlJc w:val="left"/>
      <w:pPr>
        <w:tabs>
          <w:tab w:val="num" w:pos="1080"/>
        </w:tabs>
        <w:ind w:left="1080" w:hanging="72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074639D"/>
    <w:multiLevelType w:val="hybridMultilevel"/>
    <w:tmpl w:val="F692C1A2"/>
    <w:lvl w:ilvl="0" w:tplc="240A000D">
      <w:start w:val="1"/>
      <w:numFmt w:val="bullet"/>
      <w:lvlText w:val=""/>
      <w:lvlJc w:val="left"/>
      <w:pPr>
        <w:ind w:left="1500" w:hanging="360"/>
      </w:pPr>
      <w:rPr>
        <w:rFonts w:ascii="Wingdings" w:hAnsi="Wingdings" w:hint="default"/>
      </w:rPr>
    </w:lvl>
    <w:lvl w:ilvl="1" w:tplc="240A0003">
      <w:start w:val="1"/>
      <w:numFmt w:val="bullet"/>
      <w:lvlText w:val="o"/>
      <w:lvlJc w:val="left"/>
      <w:pPr>
        <w:ind w:left="2220" w:hanging="360"/>
      </w:pPr>
      <w:rPr>
        <w:rFonts w:ascii="Courier New" w:hAnsi="Courier New" w:cs="Courier New" w:hint="default"/>
      </w:rPr>
    </w:lvl>
    <w:lvl w:ilvl="2" w:tplc="240A0005">
      <w:start w:val="1"/>
      <w:numFmt w:val="bullet"/>
      <w:lvlText w:val=""/>
      <w:lvlJc w:val="left"/>
      <w:pPr>
        <w:ind w:left="2940" w:hanging="360"/>
      </w:pPr>
      <w:rPr>
        <w:rFonts w:ascii="Wingdings" w:hAnsi="Wingdings" w:hint="default"/>
      </w:rPr>
    </w:lvl>
    <w:lvl w:ilvl="3" w:tplc="240A0001">
      <w:start w:val="1"/>
      <w:numFmt w:val="bullet"/>
      <w:lvlText w:val=""/>
      <w:lvlJc w:val="left"/>
      <w:pPr>
        <w:ind w:left="3660" w:hanging="360"/>
      </w:pPr>
      <w:rPr>
        <w:rFonts w:ascii="Symbol" w:hAnsi="Symbol" w:hint="default"/>
      </w:rPr>
    </w:lvl>
    <w:lvl w:ilvl="4" w:tplc="240A0003">
      <w:start w:val="1"/>
      <w:numFmt w:val="bullet"/>
      <w:lvlText w:val="o"/>
      <w:lvlJc w:val="left"/>
      <w:pPr>
        <w:ind w:left="4380" w:hanging="360"/>
      </w:pPr>
      <w:rPr>
        <w:rFonts w:ascii="Courier New" w:hAnsi="Courier New" w:cs="Courier New" w:hint="default"/>
      </w:rPr>
    </w:lvl>
    <w:lvl w:ilvl="5" w:tplc="240A0005">
      <w:start w:val="1"/>
      <w:numFmt w:val="bullet"/>
      <w:lvlText w:val=""/>
      <w:lvlJc w:val="left"/>
      <w:pPr>
        <w:ind w:left="5100" w:hanging="360"/>
      </w:pPr>
      <w:rPr>
        <w:rFonts w:ascii="Wingdings" w:hAnsi="Wingdings" w:hint="default"/>
      </w:rPr>
    </w:lvl>
    <w:lvl w:ilvl="6" w:tplc="240A0001">
      <w:start w:val="1"/>
      <w:numFmt w:val="bullet"/>
      <w:lvlText w:val=""/>
      <w:lvlJc w:val="left"/>
      <w:pPr>
        <w:ind w:left="5820" w:hanging="360"/>
      </w:pPr>
      <w:rPr>
        <w:rFonts w:ascii="Symbol" w:hAnsi="Symbol" w:hint="default"/>
      </w:rPr>
    </w:lvl>
    <w:lvl w:ilvl="7" w:tplc="240A0003">
      <w:start w:val="1"/>
      <w:numFmt w:val="bullet"/>
      <w:lvlText w:val="o"/>
      <w:lvlJc w:val="left"/>
      <w:pPr>
        <w:ind w:left="6540" w:hanging="360"/>
      </w:pPr>
      <w:rPr>
        <w:rFonts w:ascii="Courier New" w:hAnsi="Courier New" w:cs="Courier New" w:hint="default"/>
      </w:rPr>
    </w:lvl>
    <w:lvl w:ilvl="8" w:tplc="240A0005">
      <w:start w:val="1"/>
      <w:numFmt w:val="bullet"/>
      <w:lvlText w:val=""/>
      <w:lvlJc w:val="left"/>
      <w:pPr>
        <w:ind w:left="7260" w:hanging="360"/>
      </w:pPr>
      <w:rPr>
        <w:rFonts w:ascii="Wingdings" w:hAnsi="Wingdings" w:hint="default"/>
      </w:rPr>
    </w:lvl>
  </w:abstractNum>
  <w:abstractNum w:abstractNumId="41" w15:restartNumberingAfterBreak="0">
    <w:nsid w:val="72044BA6"/>
    <w:multiLevelType w:val="hybridMultilevel"/>
    <w:tmpl w:val="07EEA1E4"/>
    <w:lvl w:ilvl="0" w:tplc="FEE6611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A7813B2"/>
    <w:multiLevelType w:val="hybridMultilevel"/>
    <w:tmpl w:val="C8E461B0"/>
    <w:lvl w:ilvl="0" w:tplc="A26EE73E">
      <w:numFmt w:val="bullet"/>
      <w:lvlText w:val="-"/>
      <w:lvlJc w:val="left"/>
      <w:pPr>
        <w:ind w:left="720" w:hanging="360"/>
      </w:pPr>
      <w:rPr>
        <w:rFonts w:ascii="Calibri" w:eastAsia="Calibri" w:hAnsi="Calibri" w:cs="Calibri" w:hint="default"/>
        <w:sz w:val="24"/>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5538084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0817">
    <w:abstractNumId w:val="7"/>
  </w:num>
  <w:num w:numId="3" w16cid:durableId="631130331">
    <w:abstractNumId w:val="37"/>
  </w:num>
  <w:num w:numId="4" w16cid:durableId="1809662776">
    <w:abstractNumId w:val="8"/>
  </w:num>
  <w:num w:numId="5" w16cid:durableId="1080370010">
    <w:abstractNumId w:val="16"/>
  </w:num>
  <w:num w:numId="6" w16cid:durableId="733619974">
    <w:abstractNumId w:val="31"/>
  </w:num>
  <w:num w:numId="7" w16cid:durableId="32730004">
    <w:abstractNumId w:val="9"/>
  </w:num>
  <w:num w:numId="8" w16cid:durableId="1870798376">
    <w:abstractNumId w:val="17"/>
  </w:num>
  <w:num w:numId="9" w16cid:durableId="221259636">
    <w:abstractNumId w:val="6"/>
  </w:num>
  <w:num w:numId="10" w16cid:durableId="2096586550">
    <w:abstractNumId w:val="21"/>
  </w:num>
  <w:num w:numId="11" w16cid:durableId="13768484">
    <w:abstractNumId w:val="13"/>
  </w:num>
  <w:num w:numId="12" w16cid:durableId="519782452">
    <w:abstractNumId w:val="32"/>
  </w:num>
  <w:num w:numId="13" w16cid:durableId="45036559">
    <w:abstractNumId w:val="38"/>
  </w:num>
  <w:num w:numId="14" w16cid:durableId="243220574">
    <w:abstractNumId w:val="39"/>
  </w:num>
  <w:num w:numId="15" w16cid:durableId="390076000">
    <w:abstractNumId w:val="1"/>
  </w:num>
  <w:num w:numId="16" w16cid:durableId="1094401521">
    <w:abstractNumId w:val="22"/>
  </w:num>
  <w:num w:numId="17" w16cid:durableId="1166017571">
    <w:abstractNumId w:val="4"/>
  </w:num>
  <w:num w:numId="18" w16cid:durableId="1133788501">
    <w:abstractNumId w:val="24"/>
  </w:num>
  <w:num w:numId="19" w16cid:durableId="650214379">
    <w:abstractNumId w:val="27"/>
  </w:num>
  <w:num w:numId="20" w16cid:durableId="1295866003">
    <w:abstractNumId w:val="0"/>
  </w:num>
  <w:num w:numId="21" w16cid:durableId="2068796489">
    <w:abstractNumId w:val="10"/>
  </w:num>
  <w:num w:numId="22" w16cid:durableId="562259129">
    <w:abstractNumId w:val="19"/>
  </w:num>
  <w:num w:numId="23" w16cid:durableId="406391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87984657">
    <w:abstractNumId w:val="36"/>
  </w:num>
  <w:num w:numId="25" w16cid:durableId="403114346">
    <w:abstractNumId w:val="11"/>
  </w:num>
  <w:num w:numId="26" w16cid:durableId="656612742">
    <w:abstractNumId w:val="29"/>
  </w:num>
  <w:num w:numId="27" w16cid:durableId="788664341">
    <w:abstractNumId w:val="26"/>
  </w:num>
  <w:num w:numId="28" w16cid:durableId="1765371307">
    <w:abstractNumId w:val="40"/>
  </w:num>
  <w:num w:numId="29" w16cid:durableId="890191421">
    <w:abstractNumId w:val="1"/>
  </w:num>
  <w:num w:numId="30" w16cid:durableId="187527465">
    <w:abstractNumId w:val="42"/>
  </w:num>
  <w:num w:numId="31" w16cid:durableId="153493995">
    <w:abstractNumId w:val="23"/>
  </w:num>
  <w:num w:numId="32" w16cid:durableId="217979049">
    <w:abstractNumId w:val="35"/>
  </w:num>
  <w:num w:numId="33" w16cid:durableId="872964994">
    <w:abstractNumId w:val="25"/>
  </w:num>
  <w:num w:numId="34" w16cid:durableId="2068793652">
    <w:abstractNumId w:val="34"/>
  </w:num>
  <w:num w:numId="35" w16cid:durableId="436876713">
    <w:abstractNumId w:val="14"/>
  </w:num>
  <w:num w:numId="36" w16cid:durableId="863664958">
    <w:abstractNumId w:val="5"/>
  </w:num>
  <w:num w:numId="37" w16cid:durableId="1628201552">
    <w:abstractNumId w:val="2"/>
  </w:num>
  <w:num w:numId="38" w16cid:durableId="1159151706">
    <w:abstractNumId w:val="28"/>
  </w:num>
  <w:num w:numId="39" w16cid:durableId="369689604">
    <w:abstractNumId w:val="33"/>
  </w:num>
  <w:num w:numId="40" w16cid:durableId="1153378170">
    <w:abstractNumId w:val="15"/>
  </w:num>
  <w:num w:numId="41" w16cid:durableId="515267077">
    <w:abstractNumId w:val="41"/>
  </w:num>
  <w:num w:numId="42" w16cid:durableId="888032241">
    <w:abstractNumId w:val="18"/>
  </w:num>
  <w:num w:numId="43" w16cid:durableId="452754651">
    <w:abstractNumId w:val="3"/>
  </w:num>
  <w:num w:numId="44" w16cid:durableId="314183135">
    <w:abstractNumId w:val="12"/>
  </w:num>
  <w:num w:numId="45" w16cid:durableId="104852920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80"/>
    <w:rsid w:val="00003D24"/>
    <w:rsid w:val="00006F83"/>
    <w:rsid w:val="00007F07"/>
    <w:rsid w:val="00013C42"/>
    <w:rsid w:val="00014D67"/>
    <w:rsid w:val="00016A94"/>
    <w:rsid w:val="00021FCC"/>
    <w:rsid w:val="00022C96"/>
    <w:rsid w:val="00024F34"/>
    <w:rsid w:val="0002546A"/>
    <w:rsid w:val="00032CBF"/>
    <w:rsid w:val="0004205E"/>
    <w:rsid w:val="00047A6E"/>
    <w:rsid w:val="000501E9"/>
    <w:rsid w:val="00050524"/>
    <w:rsid w:val="0005480D"/>
    <w:rsid w:val="00066463"/>
    <w:rsid w:val="000762FE"/>
    <w:rsid w:val="0007636F"/>
    <w:rsid w:val="00081CEE"/>
    <w:rsid w:val="00084B49"/>
    <w:rsid w:val="00086B16"/>
    <w:rsid w:val="00092C0A"/>
    <w:rsid w:val="00094D9F"/>
    <w:rsid w:val="000A35DA"/>
    <w:rsid w:val="000A3E34"/>
    <w:rsid w:val="000B30A6"/>
    <w:rsid w:val="000B39C5"/>
    <w:rsid w:val="000B50F1"/>
    <w:rsid w:val="000C3FF4"/>
    <w:rsid w:val="000C41BE"/>
    <w:rsid w:val="000C5964"/>
    <w:rsid w:val="000C614C"/>
    <w:rsid w:val="000C6C52"/>
    <w:rsid w:val="000D1904"/>
    <w:rsid w:val="000D2DA8"/>
    <w:rsid w:val="000D512E"/>
    <w:rsid w:val="000E0152"/>
    <w:rsid w:val="000E370D"/>
    <w:rsid w:val="000E65A4"/>
    <w:rsid w:val="00105533"/>
    <w:rsid w:val="001072FB"/>
    <w:rsid w:val="00116659"/>
    <w:rsid w:val="001175AA"/>
    <w:rsid w:val="00125A3A"/>
    <w:rsid w:val="00126916"/>
    <w:rsid w:val="00126980"/>
    <w:rsid w:val="001303DD"/>
    <w:rsid w:val="001348DA"/>
    <w:rsid w:val="001365B5"/>
    <w:rsid w:val="00136CD0"/>
    <w:rsid w:val="0013737F"/>
    <w:rsid w:val="00142BF2"/>
    <w:rsid w:val="001447C1"/>
    <w:rsid w:val="00145BCA"/>
    <w:rsid w:val="0015216F"/>
    <w:rsid w:val="00153523"/>
    <w:rsid w:val="00157729"/>
    <w:rsid w:val="00164587"/>
    <w:rsid w:val="001665A3"/>
    <w:rsid w:val="001743EF"/>
    <w:rsid w:val="00174A31"/>
    <w:rsid w:val="00177232"/>
    <w:rsid w:val="00185916"/>
    <w:rsid w:val="00187186"/>
    <w:rsid w:val="001929AD"/>
    <w:rsid w:val="001978EB"/>
    <w:rsid w:val="001A2AF1"/>
    <w:rsid w:val="001A3DCB"/>
    <w:rsid w:val="001C013E"/>
    <w:rsid w:val="001D1743"/>
    <w:rsid w:val="001D17CF"/>
    <w:rsid w:val="001E2543"/>
    <w:rsid w:val="001E6C60"/>
    <w:rsid w:val="001F238A"/>
    <w:rsid w:val="002171A2"/>
    <w:rsid w:val="002217D1"/>
    <w:rsid w:val="002264B8"/>
    <w:rsid w:val="00235361"/>
    <w:rsid w:val="00236F62"/>
    <w:rsid w:val="00237D76"/>
    <w:rsid w:val="00251FCE"/>
    <w:rsid w:val="00252F13"/>
    <w:rsid w:val="00254313"/>
    <w:rsid w:val="0026513E"/>
    <w:rsid w:val="002729A5"/>
    <w:rsid w:val="002862C1"/>
    <w:rsid w:val="00286449"/>
    <w:rsid w:val="00287EC3"/>
    <w:rsid w:val="00293F29"/>
    <w:rsid w:val="002941D1"/>
    <w:rsid w:val="002A2A12"/>
    <w:rsid w:val="002C05D0"/>
    <w:rsid w:val="002C6429"/>
    <w:rsid w:val="002D096D"/>
    <w:rsid w:val="002D11FE"/>
    <w:rsid w:val="002D2CB2"/>
    <w:rsid w:val="002D35EC"/>
    <w:rsid w:val="002D3FE3"/>
    <w:rsid w:val="002D5E8B"/>
    <w:rsid w:val="002E19C3"/>
    <w:rsid w:val="002E4A97"/>
    <w:rsid w:val="002E71C4"/>
    <w:rsid w:val="002F226A"/>
    <w:rsid w:val="00301DC2"/>
    <w:rsid w:val="00312DA1"/>
    <w:rsid w:val="003227FD"/>
    <w:rsid w:val="00325A55"/>
    <w:rsid w:val="00327A2B"/>
    <w:rsid w:val="003343DB"/>
    <w:rsid w:val="00336655"/>
    <w:rsid w:val="00342B3C"/>
    <w:rsid w:val="00346554"/>
    <w:rsid w:val="003503EB"/>
    <w:rsid w:val="00350767"/>
    <w:rsid w:val="00350E4B"/>
    <w:rsid w:val="003533A1"/>
    <w:rsid w:val="003651DE"/>
    <w:rsid w:val="00367CB8"/>
    <w:rsid w:val="003711C0"/>
    <w:rsid w:val="00373197"/>
    <w:rsid w:val="0038390A"/>
    <w:rsid w:val="00383AA8"/>
    <w:rsid w:val="003A0BBF"/>
    <w:rsid w:val="003A3C08"/>
    <w:rsid w:val="003A6449"/>
    <w:rsid w:val="003A73D2"/>
    <w:rsid w:val="003B3F46"/>
    <w:rsid w:val="003B4DDE"/>
    <w:rsid w:val="003B625C"/>
    <w:rsid w:val="003C0C28"/>
    <w:rsid w:val="003C0F32"/>
    <w:rsid w:val="003C6CAC"/>
    <w:rsid w:val="003D3516"/>
    <w:rsid w:val="003E1394"/>
    <w:rsid w:val="003E582F"/>
    <w:rsid w:val="00401B59"/>
    <w:rsid w:val="00405CE5"/>
    <w:rsid w:val="0041604F"/>
    <w:rsid w:val="00427DD9"/>
    <w:rsid w:val="004317DB"/>
    <w:rsid w:val="00432C5C"/>
    <w:rsid w:val="00437C19"/>
    <w:rsid w:val="00461D1F"/>
    <w:rsid w:val="00470148"/>
    <w:rsid w:val="00470526"/>
    <w:rsid w:val="00474CA7"/>
    <w:rsid w:val="00481A66"/>
    <w:rsid w:val="004848A4"/>
    <w:rsid w:val="00490F5F"/>
    <w:rsid w:val="004A0755"/>
    <w:rsid w:val="004A6BE3"/>
    <w:rsid w:val="004B078F"/>
    <w:rsid w:val="004C4371"/>
    <w:rsid w:val="004C7D38"/>
    <w:rsid w:val="004D0D86"/>
    <w:rsid w:val="004D10C6"/>
    <w:rsid w:val="004D2643"/>
    <w:rsid w:val="004D294E"/>
    <w:rsid w:val="004D3D03"/>
    <w:rsid w:val="004D4586"/>
    <w:rsid w:val="004D6329"/>
    <w:rsid w:val="004E034B"/>
    <w:rsid w:val="004E17FC"/>
    <w:rsid w:val="004E274E"/>
    <w:rsid w:val="004E517F"/>
    <w:rsid w:val="004F778E"/>
    <w:rsid w:val="004F7A38"/>
    <w:rsid w:val="0050148F"/>
    <w:rsid w:val="00502F91"/>
    <w:rsid w:val="00520AAA"/>
    <w:rsid w:val="00520B2A"/>
    <w:rsid w:val="005338E4"/>
    <w:rsid w:val="0054286C"/>
    <w:rsid w:val="00543E5A"/>
    <w:rsid w:val="00545A32"/>
    <w:rsid w:val="0054645F"/>
    <w:rsid w:val="005616ED"/>
    <w:rsid w:val="005629D0"/>
    <w:rsid w:val="00564A4E"/>
    <w:rsid w:val="005815B6"/>
    <w:rsid w:val="00584E85"/>
    <w:rsid w:val="005871DA"/>
    <w:rsid w:val="00587695"/>
    <w:rsid w:val="0059054D"/>
    <w:rsid w:val="0059316B"/>
    <w:rsid w:val="005949A8"/>
    <w:rsid w:val="005A077D"/>
    <w:rsid w:val="005A4320"/>
    <w:rsid w:val="005A498D"/>
    <w:rsid w:val="005C19CA"/>
    <w:rsid w:val="005C4522"/>
    <w:rsid w:val="005D49BF"/>
    <w:rsid w:val="005F30C3"/>
    <w:rsid w:val="005F7863"/>
    <w:rsid w:val="0060353B"/>
    <w:rsid w:val="00620876"/>
    <w:rsid w:val="00624FD0"/>
    <w:rsid w:val="00630C5E"/>
    <w:rsid w:val="006315B4"/>
    <w:rsid w:val="00635AC3"/>
    <w:rsid w:val="00636FFB"/>
    <w:rsid w:val="00654CCF"/>
    <w:rsid w:val="00665F82"/>
    <w:rsid w:val="00667C4C"/>
    <w:rsid w:val="0067186C"/>
    <w:rsid w:val="00671E11"/>
    <w:rsid w:val="006779DA"/>
    <w:rsid w:val="00687EB3"/>
    <w:rsid w:val="00692980"/>
    <w:rsid w:val="00693246"/>
    <w:rsid w:val="0069506F"/>
    <w:rsid w:val="00696582"/>
    <w:rsid w:val="006A1DBB"/>
    <w:rsid w:val="006B4E40"/>
    <w:rsid w:val="006C103A"/>
    <w:rsid w:val="006C4E6A"/>
    <w:rsid w:val="006C50E8"/>
    <w:rsid w:val="006D14CD"/>
    <w:rsid w:val="006D464D"/>
    <w:rsid w:val="006E6F11"/>
    <w:rsid w:val="006F0B6B"/>
    <w:rsid w:val="006F144D"/>
    <w:rsid w:val="006F461B"/>
    <w:rsid w:val="006F622C"/>
    <w:rsid w:val="006F7B36"/>
    <w:rsid w:val="00700FF6"/>
    <w:rsid w:val="00704D44"/>
    <w:rsid w:val="00715A68"/>
    <w:rsid w:val="00715DD5"/>
    <w:rsid w:val="00715ECF"/>
    <w:rsid w:val="00717A04"/>
    <w:rsid w:val="00717BFE"/>
    <w:rsid w:val="007208C5"/>
    <w:rsid w:val="00725BB4"/>
    <w:rsid w:val="0073180A"/>
    <w:rsid w:val="00732997"/>
    <w:rsid w:val="007336C3"/>
    <w:rsid w:val="00735033"/>
    <w:rsid w:val="00756485"/>
    <w:rsid w:val="0075705D"/>
    <w:rsid w:val="007626E1"/>
    <w:rsid w:val="00767F65"/>
    <w:rsid w:val="00770D6C"/>
    <w:rsid w:val="00783515"/>
    <w:rsid w:val="00787C94"/>
    <w:rsid w:val="00791BCB"/>
    <w:rsid w:val="007921BD"/>
    <w:rsid w:val="00793A02"/>
    <w:rsid w:val="00795C6B"/>
    <w:rsid w:val="007A1566"/>
    <w:rsid w:val="007A3995"/>
    <w:rsid w:val="007A5AC5"/>
    <w:rsid w:val="007A7638"/>
    <w:rsid w:val="007B622D"/>
    <w:rsid w:val="007C4288"/>
    <w:rsid w:val="007C484E"/>
    <w:rsid w:val="007D4853"/>
    <w:rsid w:val="007D57C4"/>
    <w:rsid w:val="007E0429"/>
    <w:rsid w:val="007E41DE"/>
    <w:rsid w:val="007E4CE3"/>
    <w:rsid w:val="007F2B1F"/>
    <w:rsid w:val="00802F7A"/>
    <w:rsid w:val="00806A1C"/>
    <w:rsid w:val="0080773A"/>
    <w:rsid w:val="008173F3"/>
    <w:rsid w:val="0082117C"/>
    <w:rsid w:val="008227E9"/>
    <w:rsid w:val="008252C5"/>
    <w:rsid w:val="00831860"/>
    <w:rsid w:val="00832F2D"/>
    <w:rsid w:val="00836C6A"/>
    <w:rsid w:val="00841C9F"/>
    <w:rsid w:val="0084294E"/>
    <w:rsid w:val="00843EFF"/>
    <w:rsid w:val="008442A5"/>
    <w:rsid w:val="008477A9"/>
    <w:rsid w:val="0085416A"/>
    <w:rsid w:val="00856B0F"/>
    <w:rsid w:val="0087186A"/>
    <w:rsid w:val="00871F39"/>
    <w:rsid w:val="00872C56"/>
    <w:rsid w:val="00874F67"/>
    <w:rsid w:val="00876AC2"/>
    <w:rsid w:val="00883F43"/>
    <w:rsid w:val="00884C98"/>
    <w:rsid w:val="00884CE2"/>
    <w:rsid w:val="00885E7D"/>
    <w:rsid w:val="0089363F"/>
    <w:rsid w:val="00894D05"/>
    <w:rsid w:val="00896ED8"/>
    <w:rsid w:val="008A00FD"/>
    <w:rsid w:val="008A209D"/>
    <w:rsid w:val="008A2436"/>
    <w:rsid w:val="008A4E8C"/>
    <w:rsid w:val="008A563D"/>
    <w:rsid w:val="008B3B0A"/>
    <w:rsid w:val="008C2BA0"/>
    <w:rsid w:val="008C69F2"/>
    <w:rsid w:val="008D3E6C"/>
    <w:rsid w:val="008E04EC"/>
    <w:rsid w:val="008E43F4"/>
    <w:rsid w:val="008F42F6"/>
    <w:rsid w:val="008F5282"/>
    <w:rsid w:val="00912BAC"/>
    <w:rsid w:val="00913028"/>
    <w:rsid w:val="00925058"/>
    <w:rsid w:val="00926CDB"/>
    <w:rsid w:val="00930113"/>
    <w:rsid w:val="009356EC"/>
    <w:rsid w:val="00937FB2"/>
    <w:rsid w:val="0094114F"/>
    <w:rsid w:val="0095690D"/>
    <w:rsid w:val="009609C5"/>
    <w:rsid w:val="00963008"/>
    <w:rsid w:val="00965B1A"/>
    <w:rsid w:val="00965D5F"/>
    <w:rsid w:val="00971B57"/>
    <w:rsid w:val="00976933"/>
    <w:rsid w:val="00981893"/>
    <w:rsid w:val="00984974"/>
    <w:rsid w:val="00986438"/>
    <w:rsid w:val="00987DBF"/>
    <w:rsid w:val="009970F9"/>
    <w:rsid w:val="009A5590"/>
    <w:rsid w:val="009C3837"/>
    <w:rsid w:val="009C44BD"/>
    <w:rsid w:val="009C537F"/>
    <w:rsid w:val="009D0585"/>
    <w:rsid w:val="009D2BB3"/>
    <w:rsid w:val="009E0846"/>
    <w:rsid w:val="009E1EF4"/>
    <w:rsid w:val="009E1F32"/>
    <w:rsid w:val="009E4BD5"/>
    <w:rsid w:val="009F1BE0"/>
    <w:rsid w:val="009F7CED"/>
    <w:rsid w:val="00A04569"/>
    <w:rsid w:val="00A0736A"/>
    <w:rsid w:val="00A07DE7"/>
    <w:rsid w:val="00A1301A"/>
    <w:rsid w:val="00A14C37"/>
    <w:rsid w:val="00A161B9"/>
    <w:rsid w:val="00A219D7"/>
    <w:rsid w:val="00A2785C"/>
    <w:rsid w:val="00A33DCF"/>
    <w:rsid w:val="00A377FE"/>
    <w:rsid w:val="00A4128C"/>
    <w:rsid w:val="00A41AEF"/>
    <w:rsid w:val="00A447B3"/>
    <w:rsid w:val="00A500DD"/>
    <w:rsid w:val="00A51044"/>
    <w:rsid w:val="00A52C3F"/>
    <w:rsid w:val="00A55DB6"/>
    <w:rsid w:val="00A56C14"/>
    <w:rsid w:val="00A61784"/>
    <w:rsid w:val="00A623FC"/>
    <w:rsid w:val="00A64120"/>
    <w:rsid w:val="00A72973"/>
    <w:rsid w:val="00A74AFD"/>
    <w:rsid w:val="00A80613"/>
    <w:rsid w:val="00A83A98"/>
    <w:rsid w:val="00A85AEA"/>
    <w:rsid w:val="00A94019"/>
    <w:rsid w:val="00AA28E8"/>
    <w:rsid w:val="00AB0708"/>
    <w:rsid w:val="00AB0C45"/>
    <w:rsid w:val="00AB6652"/>
    <w:rsid w:val="00AC1AF8"/>
    <w:rsid w:val="00AC447D"/>
    <w:rsid w:val="00AD5446"/>
    <w:rsid w:val="00AD623F"/>
    <w:rsid w:val="00AE03F3"/>
    <w:rsid w:val="00AF5E71"/>
    <w:rsid w:val="00AF7908"/>
    <w:rsid w:val="00B01939"/>
    <w:rsid w:val="00B13AE3"/>
    <w:rsid w:val="00B25550"/>
    <w:rsid w:val="00B30DCD"/>
    <w:rsid w:val="00B3283F"/>
    <w:rsid w:val="00B377D3"/>
    <w:rsid w:val="00B4178F"/>
    <w:rsid w:val="00B4216E"/>
    <w:rsid w:val="00B448DC"/>
    <w:rsid w:val="00B463AC"/>
    <w:rsid w:val="00B51095"/>
    <w:rsid w:val="00B6123C"/>
    <w:rsid w:val="00B61CA6"/>
    <w:rsid w:val="00B65F1B"/>
    <w:rsid w:val="00B66D03"/>
    <w:rsid w:val="00B7000F"/>
    <w:rsid w:val="00B729FC"/>
    <w:rsid w:val="00B73EC6"/>
    <w:rsid w:val="00B766E4"/>
    <w:rsid w:val="00B8326D"/>
    <w:rsid w:val="00B84AF8"/>
    <w:rsid w:val="00B937B6"/>
    <w:rsid w:val="00BA450F"/>
    <w:rsid w:val="00BB545F"/>
    <w:rsid w:val="00BD18B7"/>
    <w:rsid w:val="00BD4B65"/>
    <w:rsid w:val="00BE280C"/>
    <w:rsid w:val="00BF054E"/>
    <w:rsid w:val="00BF0DB9"/>
    <w:rsid w:val="00BF6D82"/>
    <w:rsid w:val="00C12B93"/>
    <w:rsid w:val="00C134C3"/>
    <w:rsid w:val="00C26C14"/>
    <w:rsid w:val="00C27D76"/>
    <w:rsid w:val="00C31D59"/>
    <w:rsid w:val="00C36892"/>
    <w:rsid w:val="00C4009A"/>
    <w:rsid w:val="00C401C2"/>
    <w:rsid w:val="00C46330"/>
    <w:rsid w:val="00C47F73"/>
    <w:rsid w:val="00C52E86"/>
    <w:rsid w:val="00C6077B"/>
    <w:rsid w:val="00C61441"/>
    <w:rsid w:val="00C7145D"/>
    <w:rsid w:val="00C7294E"/>
    <w:rsid w:val="00C91F90"/>
    <w:rsid w:val="00CA57DF"/>
    <w:rsid w:val="00CB0063"/>
    <w:rsid w:val="00CB4D37"/>
    <w:rsid w:val="00CB66F7"/>
    <w:rsid w:val="00CC0C62"/>
    <w:rsid w:val="00CC259C"/>
    <w:rsid w:val="00CC42D1"/>
    <w:rsid w:val="00CC5B3E"/>
    <w:rsid w:val="00CE1A87"/>
    <w:rsid w:val="00CF25EF"/>
    <w:rsid w:val="00D04A96"/>
    <w:rsid w:val="00D05B67"/>
    <w:rsid w:val="00D05D52"/>
    <w:rsid w:val="00D24980"/>
    <w:rsid w:val="00D26D53"/>
    <w:rsid w:val="00D31F43"/>
    <w:rsid w:val="00D40E59"/>
    <w:rsid w:val="00D415E6"/>
    <w:rsid w:val="00D444C5"/>
    <w:rsid w:val="00D530DC"/>
    <w:rsid w:val="00D62023"/>
    <w:rsid w:val="00D7070F"/>
    <w:rsid w:val="00D709DD"/>
    <w:rsid w:val="00D8294A"/>
    <w:rsid w:val="00D83F98"/>
    <w:rsid w:val="00D84A75"/>
    <w:rsid w:val="00D85F90"/>
    <w:rsid w:val="00D90649"/>
    <w:rsid w:val="00D91E89"/>
    <w:rsid w:val="00D9213D"/>
    <w:rsid w:val="00D965B1"/>
    <w:rsid w:val="00D97DF9"/>
    <w:rsid w:val="00DA6526"/>
    <w:rsid w:val="00DA6C54"/>
    <w:rsid w:val="00DB305D"/>
    <w:rsid w:val="00DC54A3"/>
    <w:rsid w:val="00DD181C"/>
    <w:rsid w:val="00DD2F2C"/>
    <w:rsid w:val="00DD48D9"/>
    <w:rsid w:val="00DE1540"/>
    <w:rsid w:val="00DE520C"/>
    <w:rsid w:val="00DF1E66"/>
    <w:rsid w:val="00DF60FD"/>
    <w:rsid w:val="00DF6410"/>
    <w:rsid w:val="00E007F7"/>
    <w:rsid w:val="00E05F18"/>
    <w:rsid w:val="00E06A27"/>
    <w:rsid w:val="00E12202"/>
    <w:rsid w:val="00E242C5"/>
    <w:rsid w:val="00E24673"/>
    <w:rsid w:val="00E24F26"/>
    <w:rsid w:val="00E261B4"/>
    <w:rsid w:val="00E31E85"/>
    <w:rsid w:val="00E407FF"/>
    <w:rsid w:val="00E40C34"/>
    <w:rsid w:val="00E41E2C"/>
    <w:rsid w:val="00E44207"/>
    <w:rsid w:val="00E66C57"/>
    <w:rsid w:val="00E66D00"/>
    <w:rsid w:val="00E7224C"/>
    <w:rsid w:val="00E729F2"/>
    <w:rsid w:val="00E75DBD"/>
    <w:rsid w:val="00E805D3"/>
    <w:rsid w:val="00E80826"/>
    <w:rsid w:val="00E84DA1"/>
    <w:rsid w:val="00E91332"/>
    <w:rsid w:val="00EA3045"/>
    <w:rsid w:val="00EC1DE8"/>
    <w:rsid w:val="00EC35AE"/>
    <w:rsid w:val="00ED4708"/>
    <w:rsid w:val="00EE0D69"/>
    <w:rsid w:val="00EE0F26"/>
    <w:rsid w:val="00EE2ABB"/>
    <w:rsid w:val="00EE2F54"/>
    <w:rsid w:val="00EF192B"/>
    <w:rsid w:val="00F06B8A"/>
    <w:rsid w:val="00F07A7D"/>
    <w:rsid w:val="00F153C1"/>
    <w:rsid w:val="00F16839"/>
    <w:rsid w:val="00F20350"/>
    <w:rsid w:val="00F211E7"/>
    <w:rsid w:val="00F21D37"/>
    <w:rsid w:val="00F221F0"/>
    <w:rsid w:val="00F26136"/>
    <w:rsid w:val="00F2713B"/>
    <w:rsid w:val="00F305D8"/>
    <w:rsid w:val="00F37106"/>
    <w:rsid w:val="00F44A2E"/>
    <w:rsid w:val="00F47D57"/>
    <w:rsid w:val="00F55DC4"/>
    <w:rsid w:val="00F576B3"/>
    <w:rsid w:val="00F745E1"/>
    <w:rsid w:val="00F75A79"/>
    <w:rsid w:val="00F7620E"/>
    <w:rsid w:val="00F775AD"/>
    <w:rsid w:val="00F80E07"/>
    <w:rsid w:val="00F90326"/>
    <w:rsid w:val="00F90F86"/>
    <w:rsid w:val="00F92DF0"/>
    <w:rsid w:val="00FA0454"/>
    <w:rsid w:val="00FA4A9E"/>
    <w:rsid w:val="00FB1248"/>
    <w:rsid w:val="00FB217D"/>
    <w:rsid w:val="00FB29CC"/>
    <w:rsid w:val="00FC0522"/>
    <w:rsid w:val="00FC2DE3"/>
    <w:rsid w:val="00FD3D04"/>
    <w:rsid w:val="00FD49A0"/>
    <w:rsid w:val="00FE27DE"/>
    <w:rsid w:val="00FF66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EBAD2"/>
  <w15:chartTrackingRefBased/>
  <w15:docId w15:val="{49E2ABB7-65AD-4DD1-8B76-9A1ACD89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2C96"/>
    <w:rPr>
      <w:rFonts w:ascii="Arial" w:hAnsi="Arial"/>
      <w:lang w:val="es-ES" w:eastAsia="es-ES"/>
    </w:rPr>
  </w:style>
  <w:style w:type="paragraph" w:styleId="Ttulo1">
    <w:name w:val="heading 1"/>
    <w:basedOn w:val="Normal"/>
    <w:next w:val="Normal"/>
    <w:qFormat/>
    <w:pPr>
      <w:keepNext/>
      <w:spacing w:before="240" w:after="60"/>
      <w:outlineLvl w:val="0"/>
    </w:pPr>
    <w:rPr>
      <w:b/>
      <w:color w:val="000080"/>
      <w:spacing w:val="-8"/>
      <w:kern w:val="28"/>
      <w:sz w:val="28"/>
      <w:lang w:val="es-CO"/>
    </w:rPr>
  </w:style>
  <w:style w:type="paragraph" w:styleId="Ttulo2">
    <w:name w:val="heading 2"/>
    <w:basedOn w:val="Normal"/>
    <w:next w:val="Normal"/>
    <w:link w:val="Ttulo2Car"/>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overflowPunct w:val="0"/>
      <w:autoSpaceDE w:val="0"/>
      <w:autoSpaceDN w:val="0"/>
      <w:adjustRightInd w:val="0"/>
      <w:ind w:right="902"/>
      <w:textAlignment w:val="baseline"/>
    </w:pPr>
    <w:rPr>
      <w:rFonts w:ascii="Verdana" w:hAnsi="Verdana"/>
      <w:sz w:val="18"/>
      <w:lang w:val="es-CO"/>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lang w:val="es-CO"/>
    </w:rPr>
  </w:style>
  <w:style w:type="paragraph" w:styleId="Textoindependiente">
    <w:name w:val="Body Text"/>
    <w:basedOn w:val="Normal"/>
    <w:pPr>
      <w:jc w:val="both"/>
    </w:pPr>
    <w:rPr>
      <w:rFonts w:ascii="Tahoma" w:hAnsi="Tahoma" w:cs="Tahoma"/>
      <w:iCs/>
      <w:sz w:val="18"/>
    </w:rPr>
  </w:style>
  <w:style w:type="paragraph" w:customStyle="1" w:styleId="Textoindependiente31">
    <w:name w:val="Texto independiente 31"/>
    <w:basedOn w:val="Normal"/>
    <w:pPr>
      <w:widowControl w:val="0"/>
      <w:overflowPunct w:val="0"/>
      <w:autoSpaceDE w:val="0"/>
      <w:autoSpaceDN w:val="0"/>
      <w:adjustRightInd w:val="0"/>
      <w:jc w:val="both"/>
      <w:textAlignment w:val="baseline"/>
    </w:pPr>
    <w:rPr>
      <w:b/>
      <w:sz w:val="24"/>
      <w:lang w:val="es-CO"/>
    </w:rPr>
  </w:style>
  <w:style w:type="character" w:customStyle="1" w:styleId="InitialStyle">
    <w:name w:val="InitialStyle"/>
    <w:rPr>
      <w:rFonts w:ascii="Courier New" w:hAnsi="Courier New"/>
      <w:color w:val="auto"/>
      <w:spacing w:val="0"/>
      <w:sz w:val="28"/>
    </w:rPr>
  </w:style>
  <w:style w:type="paragraph" w:styleId="Textoindependiente2">
    <w:name w:val="Body Text 2"/>
    <w:basedOn w:val="Normal"/>
    <w:rsid w:val="003227FD"/>
    <w:pPr>
      <w:spacing w:after="120" w:line="480" w:lineRule="auto"/>
    </w:pPr>
  </w:style>
  <w:style w:type="paragraph" w:styleId="Encabezado">
    <w:name w:val="header"/>
    <w:basedOn w:val="Normal"/>
    <w:rsid w:val="00A2785C"/>
    <w:pPr>
      <w:tabs>
        <w:tab w:val="center" w:pos="4252"/>
        <w:tab w:val="right" w:pos="8504"/>
      </w:tabs>
    </w:pPr>
  </w:style>
  <w:style w:type="paragraph" w:styleId="Piedepgina">
    <w:name w:val="footer"/>
    <w:basedOn w:val="Normal"/>
    <w:link w:val="PiedepginaCar"/>
    <w:uiPriority w:val="99"/>
    <w:rsid w:val="00A2785C"/>
    <w:pPr>
      <w:tabs>
        <w:tab w:val="center" w:pos="4252"/>
        <w:tab w:val="right" w:pos="8504"/>
      </w:tabs>
    </w:p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sz w:val="24"/>
      <w:szCs w:val="24"/>
    </w:rPr>
  </w:style>
  <w:style w:type="character" w:styleId="Refdecomentario">
    <w:name w:val="annotation reference"/>
    <w:semiHidden/>
    <w:rsid w:val="00885E7D"/>
    <w:rPr>
      <w:sz w:val="16"/>
      <w:szCs w:val="16"/>
    </w:rPr>
  </w:style>
  <w:style w:type="paragraph" w:styleId="Textocomentario">
    <w:name w:val="annotation text"/>
    <w:basedOn w:val="Normal"/>
    <w:semiHidden/>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customStyle="1" w:styleId="Listavistosa-nfasis11">
    <w:name w:val="Lista vistosa - Énfasis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val="es-CO" w:eastAsia="es-CO"/>
    </w:rPr>
  </w:style>
  <w:style w:type="paragraph" w:customStyle="1" w:styleId="Default">
    <w:name w:val="Default"/>
    <w:rsid w:val="00DF1E66"/>
    <w:pPr>
      <w:autoSpaceDE w:val="0"/>
      <w:autoSpaceDN w:val="0"/>
      <w:adjustRightInd w:val="0"/>
    </w:pPr>
    <w:rPr>
      <w:rFonts w:ascii="Arial" w:hAnsi="Arial" w:cs="Arial"/>
      <w:color w:val="000000"/>
      <w:sz w:val="24"/>
      <w:szCs w:val="24"/>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PiedepginaCar">
    <w:name w:val="Pie de página Car"/>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rFonts w:ascii="Times New Roman" w:hAnsi="Times New Roman"/>
      <w:sz w:val="24"/>
      <w:szCs w:val="24"/>
      <w:lang w:val="es-CO" w:eastAsia="es-CO"/>
    </w:rPr>
  </w:style>
  <w:style w:type="paragraph" w:customStyle="1" w:styleId="xmsolistparagraph">
    <w:name w:val="x_msolistparagraph"/>
    <w:basedOn w:val="Normal"/>
    <w:rsid w:val="00715DD5"/>
    <w:pPr>
      <w:spacing w:before="100" w:beforeAutospacing="1" w:after="100" w:afterAutospacing="1"/>
    </w:pPr>
    <w:rPr>
      <w:rFonts w:ascii="Times New Roman" w:hAnsi="Times New Roman"/>
      <w:sz w:val="24"/>
      <w:szCs w:val="24"/>
      <w:lang w:val="es-CO"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rFonts w:ascii="Times New Roman" w:hAnsi="Times New Roman"/>
      <w:sz w:val="24"/>
      <w:szCs w:val="24"/>
      <w:lang w:val="es-CO" w:eastAsia="es-CO"/>
    </w:rPr>
  </w:style>
  <w:style w:type="paragraph" w:styleId="Textonotapie">
    <w:name w:val="footnote text"/>
    <w:basedOn w:val="Normal"/>
    <w:link w:val="TextonotapieCar"/>
    <w:uiPriority w:val="99"/>
    <w:rsid w:val="00925058"/>
    <w:rPr>
      <w:rFonts w:ascii="Times" w:eastAsia="Times" w:hAnsi="Times"/>
      <w:lang w:val="en-US"/>
    </w:rPr>
  </w:style>
  <w:style w:type="character" w:customStyle="1" w:styleId="TextonotapieCar">
    <w:name w:val="Texto nota pie Car"/>
    <w:link w:val="Textonotapie"/>
    <w:uiPriority w:val="99"/>
    <w:rsid w:val="00925058"/>
    <w:rPr>
      <w:rFonts w:ascii="Times" w:eastAsia="Times" w:hAnsi="Times"/>
      <w:lang w:val="en-US" w:eastAsia="es-ES"/>
    </w:rPr>
  </w:style>
  <w:style w:type="character" w:styleId="Refdenotaalpie">
    <w:name w:val="footnote reference"/>
    <w:uiPriority w:val="99"/>
    <w:rsid w:val="00925058"/>
    <w:rPr>
      <w:vertAlign w:val="superscript"/>
    </w:rPr>
  </w:style>
  <w:style w:type="paragraph" w:customStyle="1" w:styleId="Cuadrculamedia21">
    <w:name w:val="Cuadrícula media 21"/>
    <w:qFormat/>
    <w:rsid w:val="00236F62"/>
    <w:rPr>
      <w:rFonts w:ascii="Calibri" w:eastAsia="Calibri" w:hAnsi="Calibri"/>
      <w:sz w:val="22"/>
      <w:szCs w:val="22"/>
      <w:lang w:eastAsia="en-US"/>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szCs w:val="24"/>
    </w:rPr>
  </w:style>
  <w:style w:type="character" w:customStyle="1" w:styleId="TtuloCar">
    <w:name w:val="Título Car"/>
    <w:link w:val="Ttulo"/>
    <w:rsid w:val="00AE03F3"/>
    <w:rPr>
      <w:rFonts w:ascii="Arial" w:hAnsi="Arial" w:cs="Arial"/>
      <w:b/>
      <w:bCs/>
      <w:sz w:val="32"/>
      <w:szCs w:val="24"/>
      <w:lang w:val="es-ES" w:eastAsia="es-ES"/>
    </w:rPr>
  </w:style>
  <w:style w:type="character" w:customStyle="1" w:styleId="Listavistosa-nfasis1Car">
    <w:name w:val="Lista vistosa - Énfasis 1 Car"/>
    <w:aliases w:val="Normal. Viñetas Car"/>
    <w:link w:val="Listavistosa-nfasis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022C96"/>
    <w:rPr>
      <w:rFonts w:ascii="Arial" w:hAnsi="Arial"/>
      <w:b/>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94EC5-52D9-4929-B3D2-A7B03D91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3917</Words>
  <Characters>21548</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Formato Memoria Justificativa</vt:lpstr>
    </vt:vector>
  </TitlesOfParts>
  <Company>dafp</Company>
  <LinksUpToDate>false</LinksUpToDate>
  <CharactersWithSpaces>25415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Memoria Justificativa</dc:title>
  <dc:subject/>
  <dc:creator>Departamento Administrativo de la Función Publica</dc:creator>
  <cp:keywords/>
  <dc:description/>
  <cp:lastModifiedBy>Diana Maria Gomez Ortiz</cp:lastModifiedBy>
  <cp:revision>5</cp:revision>
  <cp:lastPrinted>2019-07-08T22:30:00Z</cp:lastPrinted>
  <dcterms:created xsi:type="dcterms:W3CDTF">2023-10-25T16:21:00Z</dcterms:created>
  <dcterms:modified xsi:type="dcterms:W3CDTF">2023-10-25T21:00:00Z</dcterms:modified>
</cp:coreProperties>
</file>