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E883" w14:textId="588D6DD6" w:rsidR="00E86DCA" w:rsidRDefault="00E86DCA" w:rsidP="00E86DCA">
      <w:pPr>
        <w:ind w:left="180" w:right="47" w:hanging="180"/>
        <w:jc w:val="both"/>
        <w:rPr>
          <w:rFonts w:ascii="Arial Narrow" w:hAnsi="Arial Narrow" w:cs="Arial"/>
          <w:lang w:val="es-CO"/>
        </w:rPr>
      </w:pPr>
    </w:p>
    <w:p w14:paraId="44BB7FF0" w14:textId="542E2886" w:rsidR="0081439C" w:rsidRDefault="0081439C" w:rsidP="00E86DCA">
      <w:pPr>
        <w:ind w:left="180" w:right="47" w:hanging="180"/>
        <w:jc w:val="both"/>
        <w:rPr>
          <w:rFonts w:ascii="Arial Narrow" w:hAnsi="Arial Narrow" w:cs="Arial"/>
          <w:lang w:val="es-CO"/>
        </w:rPr>
      </w:pPr>
      <w:r>
        <w:rPr>
          <w:rFonts w:ascii="Arial Narrow" w:hAnsi="Arial Narrow" w:cs="Arial"/>
          <w:lang w:val="es-CO"/>
        </w:rPr>
        <w:t>Bogotá D.C., 29 de Otubre de 2018</w:t>
      </w:r>
    </w:p>
    <w:p w14:paraId="5D0F01A4" w14:textId="77777777" w:rsidR="0081439C" w:rsidRPr="00E02513" w:rsidRDefault="0081439C" w:rsidP="00E86DCA">
      <w:pPr>
        <w:ind w:left="180" w:right="47" w:hanging="180"/>
        <w:jc w:val="both"/>
        <w:rPr>
          <w:rFonts w:ascii="Arial Narrow" w:hAnsi="Arial Narrow" w:cs="Arial"/>
          <w:lang w:val="es-CO"/>
        </w:rPr>
      </w:pPr>
    </w:p>
    <w:p w14:paraId="602A5BB7" w14:textId="77777777" w:rsidR="0081439C" w:rsidRDefault="0081439C" w:rsidP="00E86DCA">
      <w:pPr>
        <w:ind w:right="47"/>
        <w:jc w:val="both"/>
        <w:outlineLvl w:val="0"/>
        <w:rPr>
          <w:rFonts w:ascii="Arial Narrow" w:hAnsi="Arial Narrow" w:cs="Arial"/>
          <w:lang w:val="es-CO"/>
        </w:rPr>
      </w:pPr>
    </w:p>
    <w:p w14:paraId="218E79EF" w14:textId="6C396C46" w:rsidR="0081439C" w:rsidRDefault="0081439C" w:rsidP="0081439C">
      <w:pPr>
        <w:ind w:right="47"/>
        <w:jc w:val="center"/>
        <w:outlineLvl w:val="0"/>
        <w:rPr>
          <w:rFonts w:ascii="Arial Narrow" w:hAnsi="Arial Narrow" w:cs="Arial"/>
          <w:b/>
          <w:lang w:val="es-CO"/>
        </w:rPr>
      </w:pPr>
      <w:r>
        <w:rPr>
          <w:rFonts w:ascii="Arial Narrow" w:hAnsi="Arial Narrow" w:cs="Arial"/>
          <w:b/>
          <w:lang w:val="es-CO"/>
        </w:rPr>
        <w:t>MATRIZ COMENTARIOS AL PROYECTO DE RESOLUCIÓN</w:t>
      </w:r>
    </w:p>
    <w:p w14:paraId="6E03A813" w14:textId="77777777" w:rsidR="0081439C" w:rsidRDefault="0081439C" w:rsidP="0081439C">
      <w:pPr>
        <w:ind w:right="425"/>
        <w:jc w:val="center"/>
        <w:rPr>
          <w:rFonts w:ascii="Arial" w:hAnsi="Arial" w:cs="Arial"/>
          <w:b/>
          <w:i/>
          <w:sz w:val="22"/>
          <w:szCs w:val="22"/>
        </w:rPr>
      </w:pPr>
      <w:r w:rsidRPr="005E6BAF">
        <w:rPr>
          <w:rFonts w:ascii="Arial" w:hAnsi="Arial" w:cs="Arial"/>
          <w:b/>
          <w:i/>
          <w:sz w:val="22"/>
          <w:szCs w:val="22"/>
        </w:rPr>
        <w:t>Por medio de la cual se adopta la distribución anual de recursos del Fondo de Solidaridad de Fomento al Empleo y Protección al Cesante – FOSFEC y se dictan otras disposiciones.</w:t>
      </w:r>
    </w:p>
    <w:p w14:paraId="41386A7B" w14:textId="77777777" w:rsidR="0081439C" w:rsidRPr="0081439C" w:rsidRDefault="0081439C" w:rsidP="0081439C">
      <w:pPr>
        <w:ind w:right="47"/>
        <w:jc w:val="center"/>
        <w:outlineLvl w:val="0"/>
        <w:rPr>
          <w:rFonts w:ascii="Arial Narrow" w:hAnsi="Arial Narrow" w:cs="Arial"/>
          <w:b/>
        </w:rPr>
      </w:pPr>
    </w:p>
    <w:p w14:paraId="00459C58" w14:textId="77777777" w:rsidR="0081439C" w:rsidRDefault="0081439C" w:rsidP="00E86DCA">
      <w:pPr>
        <w:ind w:right="47"/>
        <w:jc w:val="both"/>
        <w:outlineLvl w:val="0"/>
        <w:rPr>
          <w:rFonts w:ascii="Arial Narrow" w:hAnsi="Arial Narrow" w:cs="Arial"/>
          <w:lang w:val="es-CO"/>
        </w:rPr>
      </w:pPr>
    </w:p>
    <w:p w14:paraId="5D875A4F" w14:textId="17CC3988" w:rsidR="00C30C6F" w:rsidRDefault="0081439C" w:rsidP="0081439C">
      <w:pPr>
        <w:jc w:val="both"/>
        <w:rPr>
          <w:rFonts w:ascii="Arial Narrow" w:hAnsi="Arial Narrow" w:cs="Arial"/>
          <w:lang w:val="es-CO"/>
        </w:rPr>
      </w:pPr>
      <w:r>
        <w:rPr>
          <w:rFonts w:ascii="Arial Narrow" w:hAnsi="Arial Narrow" w:cs="Arial"/>
          <w:lang w:val="es-CO"/>
        </w:rPr>
        <w:t>En el presente documento se recogen las observaciones al proyecto de resolución “</w:t>
      </w:r>
      <w:r w:rsidRPr="0081439C">
        <w:rPr>
          <w:rFonts w:ascii="Arial Narrow" w:hAnsi="Arial Narrow" w:cs="Arial"/>
          <w:lang w:val="es-CO"/>
        </w:rPr>
        <w:t>Por medio de la cual se adopta la distribución anual de recursos del Fondo de Solidaridad de Fomento al Empleo y Protección al Cesante – FOSFEC y se dictan otras disposiciones.</w:t>
      </w:r>
      <w:r>
        <w:rPr>
          <w:rFonts w:ascii="Arial Narrow" w:hAnsi="Arial Narrow" w:cs="Arial"/>
          <w:lang w:val="es-CO"/>
        </w:rPr>
        <w:t>”, el cual fue publicado en la página del Miniterio del trabajo el día 19 de octubre de 2018</w:t>
      </w:r>
      <w:r w:rsidR="00EA1094">
        <w:rPr>
          <w:rFonts w:ascii="Arial Narrow" w:hAnsi="Arial Narrow" w:cs="Arial"/>
          <w:lang w:val="es-CO"/>
        </w:rPr>
        <w:t xml:space="preserve">, en cumplimiento del proceso de la publicación de proyectos normativos que no llevan la firma del Presidente establecido por el Decreto </w:t>
      </w:r>
      <w:r w:rsidR="00EA1094" w:rsidRPr="00EA1094">
        <w:rPr>
          <w:rFonts w:ascii="Arial Narrow" w:hAnsi="Arial Narrow" w:cs="Arial"/>
          <w:lang w:val="es-CO"/>
        </w:rPr>
        <w:t>Único Reglamentario 1081 de 2015</w:t>
      </w:r>
      <w:r w:rsidR="00EA1094">
        <w:rPr>
          <w:rFonts w:ascii="Arial Narrow" w:hAnsi="Arial Narrow" w:cs="Arial"/>
          <w:lang w:val="es-CO"/>
        </w:rPr>
        <w:t>.</w:t>
      </w:r>
    </w:p>
    <w:p w14:paraId="10C7C324" w14:textId="321A4F83" w:rsidR="00EA1094" w:rsidRDefault="00EA1094" w:rsidP="0081439C">
      <w:pPr>
        <w:jc w:val="both"/>
        <w:rPr>
          <w:rFonts w:ascii="Arial Narrow" w:hAnsi="Arial Narrow" w:cs="Arial"/>
          <w:lang w:val="es-CO"/>
        </w:rPr>
      </w:pPr>
    </w:p>
    <w:p w14:paraId="71C58B44" w14:textId="77777777" w:rsidR="00EA1094" w:rsidRPr="00EA1094" w:rsidRDefault="00EA1094" w:rsidP="00EA1094">
      <w:pPr>
        <w:jc w:val="both"/>
        <w:rPr>
          <w:rFonts w:ascii="Arial Narrow" w:hAnsi="Arial Narrow" w:cs="Arial"/>
          <w:b/>
          <w:lang w:val="es-CO"/>
        </w:rPr>
      </w:pPr>
      <w:r w:rsidRPr="00EA1094">
        <w:rPr>
          <w:rFonts w:ascii="Arial Narrow" w:hAnsi="Arial Narrow" w:cs="Arial"/>
          <w:b/>
          <w:lang w:val="es-CO"/>
        </w:rPr>
        <w:t>Comentarios</w:t>
      </w:r>
    </w:p>
    <w:p w14:paraId="427CB54D" w14:textId="31849324" w:rsidR="00EA1094" w:rsidRDefault="00EA1094" w:rsidP="00EA1094">
      <w:pPr>
        <w:jc w:val="both"/>
        <w:rPr>
          <w:rFonts w:ascii="Arial Narrow" w:hAnsi="Arial Narrow" w:cs="Arial"/>
          <w:lang w:val="es-CO"/>
        </w:rPr>
      </w:pPr>
      <w:r>
        <w:rPr>
          <w:rFonts w:ascii="Arial Narrow" w:hAnsi="Arial Narrow" w:cs="Arial"/>
          <w:lang w:val="es-CO"/>
        </w:rPr>
        <w:t xml:space="preserve">Ciudadano: </w:t>
      </w:r>
      <w:r w:rsidR="00ED337B" w:rsidRPr="00ED337B">
        <w:rPr>
          <w:rFonts w:ascii="Arial Narrow" w:hAnsi="Arial Narrow" w:cs="Arial"/>
          <w:lang w:val="es-CO"/>
        </w:rPr>
        <w:t>Yira Reales Fontalvo</w:t>
      </w:r>
    </w:p>
    <w:p w14:paraId="45441FB7" w14:textId="2E20DE72" w:rsidR="00EA1094" w:rsidRDefault="00EA1094" w:rsidP="00EA1094">
      <w:pPr>
        <w:jc w:val="both"/>
        <w:rPr>
          <w:rFonts w:ascii="Arial Narrow" w:hAnsi="Arial Narrow" w:cs="Arial"/>
          <w:lang w:val="es-CO"/>
        </w:rPr>
      </w:pPr>
      <w:r>
        <w:rPr>
          <w:rFonts w:ascii="Arial Narrow" w:hAnsi="Arial Narrow" w:cs="Arial"/>
          <w:lang w:val="es-CO"/>
        </w:rPr>
        <w:t xml:space="preserve">Entidad: Caja de Compensación Familiar </w:t>
      </w:r>
      <w:r w:rsidR="00ED337B" w:rsidRPr="00ED337B">
        <w:rPr>
          <w:rFonts w:ascii="Arial Narrow" w:hAnsi="Arial Narrow" w:cs="Arial"/>
          <w:lang w:val="es-CO"/>
        </w:rPr>
        <w:t>Combarranquilla</w:t>
      </w:r>
    </w:p>
    <w:p w14:paraId="61819A07" w14:textId="4A27D712" w:rsidR="00EA1094" w:rsidRDefault="00EA1094" w:rsidP="00EA1094">
      <w:pPr>
        <w:jc w:val="both"/>
        <w:rPr>
          <w:rFonts w:ascii="Arial Narrow" w:hAnsi="Arial Narrow" w:cs="Arial"/>
          <w:lang w:val="es-CO"/>
        </w:rPr>
      </w:pPr>
      <w:r>
        <w:rPr>
          <w:rFonts w:ascii="Arial Narrow" w:hAnsi="Arial Narrow" w:cs="Arial"/>
          <w:lang w:val="es-CO"/>
        </w:rPr>
        <w:t xml:space="preserve">Fecha: </w:t>
      </w:r>
      <w:r w:rsidR="00ED337B">
        <w:rPr>
          <w:rFonts w:ascii="Arial Narrow" w:hAnsi="Arial Narrow" w:cs="Arial"/>
          <w:lang w:val="es-CO"/>
        </w:rPr>
        <w:t>22</w:t>
      </w:r>
      <w:r>
        <w:rPr>
          <w:rFonts w:ascii="Arial Narrow" w:hAnsi="Arial Narrow" w:cs="Arial"/>
          <w:lang w:val="es-CO"/>
        </w:rPr>
        <w:t xml:space="preserve"> de </w:t>
      </w:r>
      <w:proofErr w:type="gramStart"/>
      <w:r>
        <w:rPr>
          <w:rFonts w:ascii="Arial Narrow" w:hAnsi="Arial Narrow" w:cs="Arial"/>
          <w:lang w:val="es-CO"/>
        </w:rPr>
        <w:t>Octubre</w:t>
      </w:r>
      <w:proofErr w:type="gramEnd"/>
      <w:r>
        <w:rPr>
          <w:rFonts w:ascii="Arial Narrow" w:hAnsi="Arial Narrow" w:cs="Arial"/>
          <w:lang w:val="es-CO"/>
        </w:rPr>
        <w:t xml:space="preserve"> de 2018</w:t>
      </w:r>
    </w:p>
    <w:p w14:paraId="440D9CF8" w14:textId="2F2496FD" w:rsidR="006704B4" w:rsidRDefault="006704B4" w:rsidP="00EA1094">
      <w:pPr>
        <w:jc w:val="both"/>
        <w:rPr>
          <w:rFonts w:ascii="Arial Narrow" w:hAnsi="Arial Narrow" w:cs="Arial"/>
          <w:lang w:val="es-CO"/>
        </w:rPr>
      </w:pPr>
    </w:p>
    <w:p w14:paraId="29C123C8" w14:textId="77777777" w:rsidR="006704B4" w:rsidRDefault="006704B4" w:rsidP="00EA1094">
      <w:pPr>
        <w:jc w:val="both"/>
        <w:rPr>
          <w:rFonts w:ascii="Arial Narrow" w:hAnsi="Arial Narrow" w:cs="Arial"/>
          <w:lang w:val="es-CO"/>
        </w:rPr>
      </w:pPr>
    </w:p>
    <w:tbl>
      <w:tblPr>
        <w:tblStyle w:val="Tablaconcuadrcula"/>
        <w:tblW w:w="0" w:type="auto"/>
        <w:tblLook w:val="04A0" w:firstRow="1" w:lastRow="0" w:firstColumn="1" w:lastColumn="0" w:noHBand="0" w:noVBand="1"/>
      </w:tblPr>
      <w:tblGrid>
        <w:gridCol w:w="479"/>
        <w:gridCol w:w="5328"/>
        <w:gridCol w:w="7189"/>
      </w:tblGrid>
      <w:tr w:rsidR="00EA1094" w14:paraId="7BF0960D" w14:textId="77777777" w:rsidTr="00E645C3">
        <w:tc>
          <w:tcPr>
            <w:tcW w:w="479" w:type="dxa"/>
          </w:tcPr>
          <w:p w14:paraId="246F25E0" w14:textId="77777777" w:rsidR="00EA1094" w:rsidRPr="00EA1094" w:rsidRDefault="00EA1094" w:rsidP="00E645C3">
            <w:pPr>
              <w:jc w:val="center"/>
              <w:rPr>
                <w:rFonts w:ascii="Arial Narrow" w:hAnsi="Arial Narrow" w:cs="Arial"/>
                <w:b/>
                <w:lang w:val="es-CO"/>
              </w:rPr>
            </w:pPr>
            <w:bookmarkStart w:id="0" w:name="_Hlk529518127"/>
            <w:r>
              <w:rPr>
                <w:rFonts w:ascii="Arial Narrow" w:hAnsi="Arial Narrow" w:cs="Arial"/>
                <w:b/>
                <w:lang w:val="es-CO"/>
              </w:rPr>
              <w:t>No</w:t>
            </w:r>
          </w:p>
        </w:tc>
        <w:tc>
          <w:tcPr>
            <w:tcW w:w="5328" w:type="dxa"/>
          </w:tcPr>
          <w:p w14:paraId="570CD76B" w14:textId="77777777" w:rsidR="00EA1094" w:rsidRPr="00EA1094" w:rsidRDefault="00EA1094" w:rsidP="00E645C3">
            <w:pPr>
              <w:jc w:val="center"/>
              <w:rPr>
                <w:rFonts w:ascii="Arial Narrow" w:hAnsi="Arial Narrow" w:cs="Arial"/>
                <w:b/>
                <w:lang w:val="es-CO"/>
              </w:rPr>
            </w:pPr>
            <w:r>
              <w:rPr>
                <w:rFonts w:ascii="Arial Narrow" w:hAnsi="Arial Narrow" w:cs="Arial"/>
                <w:b/>
                <w:lang w:val="es-CO"/>
              </w:rPr>
              <w:t>Observación</w:t>
            </w:r>
          </w:p>
        </w:tc>
        <w:tc>
          <w:tcPr>
            <w:tcW w:w="7189" w:type="dxa"/>
          </w:tcPr>
          <w:p w14:paraId="22B103EE" w14:textId="77777777" w:rsidR="00EA1094" w:rsidRPr="00EA1094" w:rsidRDefault="00EA1094" w:rsidP="00E645C3">
            <w:pPr>
              <w:jc w:val="center"/>
              <w:rPr>
                <w:rFonts w:ascii="Arial Narrow" w:hAnsi="Arial Narrow" w:cs="Arial"/>
                <w:b/>
                <w:lang w:val="es-CO"/>
              </w:rPr>
            </w:pPr>
            <w:r>
              <w:rPr>
                <w:rFonts w:ascii="Arial Narrow" w:hAnsi="Arial Narrow" w:cs="Arial"/>
                <w:b/>
                <w:lang w:val="es-CO"/>
              </w:rPr>
              <w:t>Respuesta</w:t>
            </w:r>
          </w:p>
        </w:tc>
      </w:tr>
      <w:tr w:rsidR="00EA1094" w14:paraId="16642FBC" w14:textId="77777777" w:rsidTr="00E645C3">
        <w:tc>
          <w:tcPr>
            <w:tcW w:w="479" w:type="dxa"/>
            <w:vAlign w:val="center"/>
          </w:tcPr>
          <w:p w14:paraId="57B973B2" w14:textId="77777777" w:rsidR="00EA1094" w:rsidRDefault="00EA1094" w:rsidP="00E645C3">
            <w:pPr>
              <w:jc w:val="center"/>
              <w:rPr>
                <w:rFonts w:ascii="Arial Narrow" w:hAnsi="Arial Narrow" w:cs="Arial"/>
                <w:lang w:val="es-CO"/>
              </w:rPr>
            </w:pPr>
            <w:r>
              <w:rPr>
                <w:rFonts w:ascii="Arial Narrow" w:hAnsi="Arial Narrow" w:cs="Arial"/>
                <w:lang w:val="es-CO"/>
              </w:rPr>
              <w:t>1</w:t>
            </w:r>
          </w:p>
        </w:tc>
        <w:tc>
          <w:tcPr>
            <w:tcW w:w="5328" w:type="dxa"/>
          </w:tcPr>
          <w:p w14:paraId="009860FD" w14:textId="2BBCAEE7" w:rsidR="00EA1094" w:rsidRDefault="00ED337B" w:rsidP="00E645C3">
            <w:pPr>
              <w:jc w:val="both"/>
              <w:rPr>
                <w:rFonts w:ascii="Arial Narrow" w:hAnsi="Arial Narrow" w:cs="Arial"/>
                <w:lang w:val="es-CO"/>
              </w:rPr>
            </w:pPr>
            <w:proofErr w:type="gramStart"/>
            <w:r w:rsidRPr="00ED337B">
              <w:rPr>
                <w:rFonts w:ascii="Arial Narrow" w:hAnsi="Arial Narrow" w:cs="Arial"/>
                <w:lang w:val="es-CO"/>
              </w:rPr>
              <w:t>El parágrafo dice deberán, es obligatorio tomar el porcentaje para el programa?</w:t>
            </w:r>
            <w:proofErr w:type="gramEnd"/>
          </w:p>
        </w:tc>
        <w:tc>
          <w:tcPr>
            <w:tcW w:w="7189" w:type="dxa"/>
          </w:tcPr>
          <w:p w14:paraId="5E3CAB9A" w14:textId="77777777" w:rsidR="006704B4" w:rsidRPr="006704B4" w:rsidRDefault="006704B4" w:rsidP="006704B4">
            <w:pPr>
              <w:jc w:val="both"/>
              <w:rPr>
                <w:rFonts w:ascii="Arial Narrow" w:hAnsi="Arial Narrow" w:cs="Arial"/>
                <w:lang w:val="es-CO"/>
              </w:rPr>
            </w:pPr>
            <w:r w:rsidRPr="006704B4">
              <w:rPr>
                <w:rFonts w:ascii="Arial Narrow" w:hAnsi="Arial Narrow" w:cs="Arial"/>
                <w:lang w:val="es-CO"/>
              </w:rPr>
              <w:t>Frente al parágrafo 2° del artículo 6 del proyecto de Resolución, vale la pena mencionar:</w:t>
            </w:r>
          </w:p>
          <w:p w14:paraId="2E32540C" w14:textId="14051D37" w:rsidR="006704B4" w:rsidRPr="006704B4" w:rsidRDefault="006704B4" w:rsidP="006704B4">
            <w:pPr>
              <w:jc w:val="both"/>
              <w:rPr>
                <w:rFonts w:ascii="Arial Narrow" w:hAnsi="Arial Narrow" w:cs="Arial"/>
                <w:lang w:val="es-CO"/>
              </w:rPr>
            </w:pPr>
            <w:r w:rsidRPr="006704B4">
              <w:rPr>
                <w:rFonts w:ascii="Arial Narrow" w:hAnsi="Arial Narrow" w:cs="Arial"/>
                <w:lang w:val="es-CO"/>
              </w:rPr>
              <w:t xml:space="preserve"> -          El uso de los recursos del FOSFEC para promover los escenarios de práctica en las entidades públicas, se encuentra dispuesto en el parágrafo 3° del artículo 13 de la Ley 1780 de 2016 como mecanismo para que los jóvenes sin experiencia puedan realizar prácticas laborales en el sector público y en ese contexto adquieran experiencia laboral relacionada a su campo de estudio.</w:t>
            </w:r>
          </w:p>
          <w:p w14:paraId="5BCF27CD" w14:textId="77777777" w:rsidR="006704B4" w:rsidRPr="006704B4" w:rsidRDefault="006704B4" w:rsidP="006704B4">
            <w:pPr>
              <w:jc w:val="both"/>
              <w:rPr>
                <w:rFonts w:ascii="Arial Narrow" w:hAnsi="Arial Narrow" w:cs="Arial"/>
                <w:lang w:val="es-CO"/>
              </w:rPr>
            </w:pPr>
            <w:r w:rsidRPr="006704B4">
              <w:rPr>
                <w:rFonts w:ascii="Arial Narrow" w:hAnsi="Arial Narrow" w:cs="Arial"/>
                <w:lang w:val="es-CO"/>
              </w:rPr>
              <w:t xml:space="preserve">-          A su paso, mediante el Decreto 1376 de 2016 se reglamentó que con cargo al FOSFEC, se pueden financiar programas para promover escenarios de </w:t>
            </w:r>
            <w:r w:rsidRPr="006704B4">
              <w:rPr>
                <w:rFonts w:ascii="Arial Narrow" w:hAnsi="Arial Narrow" w:cs="Arial"/>
                <w:lang w:val="es-CO"/>
              </w:rPr>
              <w:lastRenderedPageBreak/>
              <w:t>práctica laboral en entidades públicas, en particular los relacionadas con: (i) Pago de auxilios de prácticas laborales, entendidos como herramientas de apoyo para la adquisición de experiencia laboral relacionada con el campo de estudio, en el marco de las prácticas laborales, la judicatura y la relación docencia de servicio en el área de la salud. (ii) Otros programas orientados a promover escenarios de práctica laboral en las entidades públicas.</w:t>
            </w:r>
          </w:p>
          <w:p w14:paraId="3536BC57" w14:textId="77777777" w:rsidR="006704B4" w:rsidRPr="006704B4" w:rsidRDefault="006704B4" w:rsidP="006704B4">
            <w:pPr>
              <w:jc w:val="both"/>
              <w:rPr>
                <w:rFonts w:ascii="Arial Narrow" w:hAnsi="Arial Narrow" w:cs="Arial"/>
                <w:lang w:val="es-CO"/>
              </w:rPr>
            </w:pPr>
            <w:r w:rsidRPr="006704B4">
              <w:rPr>
                <w:rFonts w:ascii="Arial Narrow" w:hAnsi="Arial Narrow" w:cs="Arial"/>
                <w:lang w:val="es-CO"/>
              </w:rPr>
              <w:t xml:space="preserve">-          De manera precisa, el parágrafo 1 del artículo 2.2.6.1.7.3. del Decreto antes mencionado ordena al Ministerio del Trabajo definir mediante resolución debidamente motivada, los programas, las condiciones y los criterios de priorización y localización de </w:t>
            </w:r>
            <w:proofErr w:type="gramStart"/>
            <w:r w:rsidRPr="006704B4">
              <w:rPr>
                <w:rFonts w:ascii="Arial Narrow" w:hAnsi="Arial Narrow" w:cs="Arial"/>
                <w:lang w:val="es-CO"/>
              </w:rPr>
              <w:t>los mismos</w:t>
            </w:r>
            <w:proofErr w:type="gramEnd"/>
            <w:r w:rsidRPr="006704B4">
              <w:rPr>
                <w:rFonts w:ascii="Arial Narrow" w:hAnsi="Arial Narrow" w:cs="Arial"/>
                <w:lang w:val="es-CO"/>
              </w:rPr>
              <w:t xml:space="preserve">, para promover escenarios de práctica laboral en entidades públicas que se impulsarán con los recursos del FOSFEC, administrados por las Cajas de Compensación Familiar. </w:t>
            </w:r>
          </w:p>
          <w:p w14:paraId="0FE4196B" w14:textId="77777777" w:rsidR="006704B4" w:rsidRPr="006704B4" w:rsidRDefault="006704B4" w:rsidP="006704B4">
            <w:pPr>
              <w:jc w:val="both"/>
              <w:rPr>
                <w:rFonts w:ascii="Arial Narrow" w:hAnsi="Arial Narrow" w:cs="Arial"/>
                <w:lang w:val="es-CO"/>
              </w:rPr>
            </w:pPr>
            <w:r w:rsidRPr="006704B4">
              <w:rPr>
                <w:rFonts w:ascii="Arial Narrow" w:hAnsi="Arial Narrow" w:cs="Arial"/>
                <w:lang w:val="es-CO"/>
              </w:rPr>
              <w:t>Y es la misma norma que reitera los “programas a que se refiere el artículo 2.2.6.1.7.3. del presente Decreto, se financiarán con cargo a la subcuenta de servicios de gestión y colocación para la inserción laboral del FOSFEC de que trata el artículo 2.2.6.1.3.12. de este Decreto. Lo anterior, sin perjuicio de las otras destinaciones de los recursos que integran dicho Fondo, en los términos de la Ley 1636 de 2013.”</w:t>
            </w:r>
          </w:p>
          <w:p w14:paraId="3CAFE01C" w14:textId="77777777" w:rsidR="006704B4" w:rsidRPr="006704B4" w:rsidRDefault="006704B4" w:rsidP="006704B4">
            <w:pPr>
              <w:jc w:val="both"/>
              <w:rPr>
                <w:rFonts w:ascii="Arial Narrow" w:hAnsi="Arial Narrow" w:cs="Arial"/>
                <w:lang w:val="es-CO"/>
              </w:rPr>
            </w:pPr>
            <w:r w:rsidRPr="006704B4">
              <w:rPr>
                <w:rFonts w:ascii="Arial Narrow" w:hAnsi="Arial Narrow" w:cs="Arial"/>
                <w:lang w:val="es-CO"/>
              </w:rPr>
              <w:t xml:space="preserve"> </w:t>
            </w:r>
          </w:p>
          <w:p w14:paraId="42355B87" w14:textId="77777777" w:rsidR="006704B4" w:rsidRPr="006704B4" w:rsidRDefault="006704B4" w:rsidP="006704B4">
            <w:pPr>
              <w:jc w:val="both"/>
              <w:rPr>
                <w:rFonts w:ascii="Arial Narrow" w:hAnsi="Arial Narrow" w:cs="Arial"/>
                <w:lang w:val="es-CO"/>
              </w:rPr>
            </w:pPr>
            <w:r w:rsidRPr="006704B4">
              <w:rPr>
                <w:rFonts w:ascii="Arial Narrow" w:hAnsi="Arial Narrow" w:cs="Arial"/>
                <w:lang w:val="es-CO"/>
              </w:rPr>
              <w:t xml:space="preserve">Por lo tanto, el uso de los recursos FOSFEC como mecanismo para financiar las prácticas laborales y mejorar con ello las condiciones de empleabilidad de los jóvenes el proceso de transición del mundo formativo al </w:t>
            </w:r>
            <w:proofErr w:type="gramStart"/>
            <w:r w:rsidRPr="006704B4">
              <w:rPr>
                <w:rFonts w:ascii="Arial Narrow" w:hAnsi="Arial Narrow" w:cs="Arial"/>
                <w:lang w:val="es-CO"/>
              </w:rPr>
              <w:t>laboral,</w:t>
            </w:r>
            <w:proofErr w:type="gramEnd"/>
            <w:r w:rsidRPr="006704B4">
              <w:rPr>
                <w:rFonts w:ascii="Arial Narrow" w:hAnsi="Arial Narrow" w:cs="Arial"/>
                <w:lang w:val="es-CO"/>
              </w:rPr>
              <w:t xml:space="preserve"> resulta jurídicamente procedente.</w:t>
            </w:r>
          </w:p>
          <w:p w14:paraId="70CD7DE8" w14:textId="77777777" w:rsidR="00EA1094" w:rsidRDefault="00EA1094" w:rsidP="00E645C3">
            <w:pPr>
              <w:jc w:val="both"/>
              <w:rPr>
                <w:rFonts w:ascii="Arial Narrow" w:hAnsi="Arial Narrow" w:cs="Arial"/>
                <w:lang w:val="es-CO"/>
              </w:rPr>
            </w:pPr>
          </w:p>
        </w:tc>
      </w:tr>
      <w:tr w:rsidR="00EA1094" w14:paraId="09F8216F" w14:textId="77777777" w:rsidTr="002E3C26">
        <w:tc>
          <w:tcPr>
            <w:tcW w:w="479" w:type="dxa"/>
            <w:vAlign w:val="center"/>
          </w:tcPr>
          <w:p w14:paraId="1C880775" w14:textId="77777777" w:rsidR="00EA1094" w:rsidRDefault="00EA1094" w:rsidP="00E645C3">
            <w:pPr>
              <w:jc w:val="center"/>
              <w:rPr>
                <w:rFonts w:ascii="Arial Narrow" w:hAnsi="Arial Narrow" w:cs="Arial"/>
                <w:lang w:val="es-CO"/>
              </w:rPr>
            </w:pPr>
            <w:r>
              <w:rPr>
                <w:rFonts w:ascii="Arial Narrow" w:hAnsi="Arial Narrow" w:cs="Arial"/>
                <w:lang w:val="es-CO"/>
              </w:rPr>
              <w:lastRenderedPageBreak/>
              <w:t>2</w:t>
            </w:r>
          </w:p>
        </w:tc>
        <w:tc>
          <w:tcPr>
            <w:tcW w:w="5328" w:type="dxa"/>
            <w:vAlign w:val="center"/>
          </w:tcPr>
          <w:p w14:paraId="2992C3E9" w14:textId="03D169CE" w:rsidR="00EA1094" w:rsidRDefault="00ED337B" w:rsidP="002E3C26">
            <w:pPr>
              <w:rPr>
                <w:rFonts w:ascii="Arial Narrow" w:hAnsi="Arial Narrow" w:cs="Arial"/>
                <w:lang w:val="es-CO"/>
              </w:rPr>
            </w:pPr>
            <w:r w:rsidRPr="00ED337B">
              <w:rPr>
                <w:rFonts w:ascii="Arial Narrow" w:hAnsi="Arial Narrow" w:cs="Arial"/>
                <w:lang w:val="es-CO"/>
              </w:rPr>
              <w:t xml:space="preserve">El porcentaje se toma del rango estipulado para agencia o de todo el FOSFEC. Por ejemplo, aquí tomamos el 20%, y tomo el 2% para estado joven, entonces me queda 18% para </w:t>
            </w:r>
            <w:proofErr w:type="gramStart"/>
            <w:r w:rsidRPr="00ED337B">
              <w:rPr>
                <w:rFonts w:ascii="Arial Narrow" w:hAnsi="Arial Narrow" w:cs="Arial"/>
                <w:lang w:val="es-CO"/>
              </w:rPr>
              <w:t>agencia?.</w:t>
            </w:r>
            <w:proofErr w:type="gramEnd"/>
          </w:p>
        </w:tc>
        <w:tc>
          <w:tcPr>
            <w:tcW w:w="7189" w:type="dxa"/>
          </w:tcPr>
          <w:p w14:paraId="0ACC35DB" w14:textId="77777777" w:rsidR="002E3C26" w:rsidRDefault="00FB7A85" w:rsidP="00E645C3">
            <w:pPr>
              <w:jc w:val="both"/>
              <w:rPr>
                <w:rFonts w:ascii="Arial Narrow" w:hAnsi="Arial Narrow" w:cs="Arial"/>
                <w:lang w:val="es-CO"/>
              </w:rPr>
            </w:pPr>
            <w:r>
              <w:rPr>
                <w:rFonts w:ascii="Arial Narrow" w:hAnsi="Arial Narrow" w:cs="Arial"/>
                <w:lang w:val="es-CO"/>
              </w:rPr>
              <w:t xml:space="preserve">De acuerdo con el </w:t>
            </w:r>
            <w:r w:rsidR="00EE15C0">
              <w:rPr>
                <w:rFonts w:ascii="Arial Narrow" w:hAnsi="Arial Narrow" w:cs="Arial"/>
                <w:lang w:val="es-CO"/>
              </w:rPr>
              <w:t xml:space="preserve">parágrafo </w:t>
            </w:r>
            <w:r w:rsidR="000C1E24">
              <w:rPr>
                <w:rFonts w:ascii="Arial Narrow" w:hAnsi="Arial Narrow" w:cs="Arial"/>
                <w:lang w:val="es-CO"/>
              </w:rPr>
              <w:t xml:space="preserve">2 del artículo 6 del </w:t>
            </w:r>
            <w:r>
              <w:rPr>
                <w:rFonts w:ascii="Arial Narrow" w:hAnsi="Arial Narrow" w:cs="Arial"/>
                <w:lang w:val="es-CO"/>
              </w:rPr>
              <w:t xml:space="preserve">proyecto de Resolución los recursos destinados para financiar </w:t>
            </w:r>
            <w:r w:rsidR="00C6423A">
              <w:rPr>
                <w:rFonts w:ascii="Arial Narrow" w:hAnsi="Arial Narrow" w:cs="Arial"/>
                <w:lang w:val="es-CO"/>
              </w:rPr>
              <w:t xml:space="preserve">el Programa Estado Joven </w:t>
            </w:r>
            <w:r w:rsidR="002E3C26">
              <w:rPr>
                <w:rFonts w:ascii="Arial Narrow" w:hAnsi="Arial Narrow" w:cs="Arial"/>
                <w:lang w:val="es-CO"/>
              </w:rPr>
              <w:t xml:space="preserve">deberán ser tenidos en cuenta dentro los recursos tomados para la Subcuenta de Gestión y Colocación de Empleo. </w:t>
            </w:r>
          </w:p>
          <w:p w14:paraId="7E728228" w14:textId="405C5796" w:rsidR="00EA1094" w:rsidRDefault="002E3C26" w:rsidP="00E645C3">
            <w:pPr>
              <w:jc w:val="both"/>
              <w:rPr>
                <w:rFonts w:ascii="Arial Narrow" w:hAnsi="Arial Narrow" w:cs="Arial"/>
                <w:lang w:val="es-CO"/>
              </w:rPr>
            </w:pPr>
            <w:r>
              <w:rPr>
                <w:rFonts w:ascii="Arial Narrow" w:hAnsi="Arial Narrow" w:cs="Arial"/>
                <w:lang w:val="es-CO"/>
              </w:rPr>
              <w:lastRenderedPageBreak/>
              <w:t xml:space="preserve">Así las cosas, en caso en que la Caja de Compensación Familiar decida tomar el 20% de los recursos del Fosfec para la para la Subcuenta de Gestión y Colocación de Empleo, luego de descontar los gastos de adminstración, y además decida usar el 2% para financiar el Programa Estado Joven, se entenderá que el 18% remanente serán los recursos netos para prestar los servicios asociados a dicha subcuenta. </w:t>
            </w:r>
          </w:p>
        </w:tc>
      </w:tr>
      <w:tr w:rsidR="00EA1094" w14:paraId="2AE8A080" w14:textId="77777777" w:rsidTr="00E645C3">
        <w:tc>
          <w:tcPr>
            <w:tcW w:w="479" w:type="dxa"/>
            <w:vAlign w:val="center"/>
          </w:tcPr>
          <w:p w14:paraId="0F275E31" w14:textId="77777777" w:rsidR="00EA1094" w:rsidRDefault="00EA1094" w:rsidP="00E645C3">
            <w:pPr>
              <w:jc w:val="center"/>
              <w:rPr>
                <w:rFonts w:ascii="Arial Narrow" w:hAnsi="Arial Narrow" w:cs="Arial"/>
                <w:lang w:val="es-CO"/>
              </w:rPr>
            </w:pPr>
            <w:r>
              <w:rPr>
                <w:rFonts w:ascii="Arial Narrow" w:hAnsi="Arial Narrow" w:cs="Arial"/>
                <w:lang w:val="es-CO"/>
              </w:rPr>
              <w:lastRenderedPageBreak/>
              <w:t>3</w:t>
            </w:r>
          </w:p>
        </w:tc>
        <w:tc>
          <w:tcPr>
            <w:tcW w:w="5328" w:type="dxa"/>
          </w:tcPr>
          <w:p w14:paraId="7455407C" w14:textId="5ACB8F97" w:rsidR="00EA1094" w:rsidRPr="00ED337B" w:rsidRDefault="00ED337B" w:rsidP="00ED337B">
            <w:r w:rsidRPr="00ED337B">
              <w:rPr>
                <w:rFonts w:ascii="Arial Narrow" w:hAnsi="Arial Narrow" w:cs="Arial"/>
                <w:lang w:val="es-CO"/>
              </w:rPr>
              <w:t xml:space="preserve">El parágrafo habla de empresas publicas y privadas, sin </w:t>
            </w:r>
            <w:proofErr w:type="gramStart"/>
            <w:r w:rsidRPr="00ED337B">
              <w:rPr>
                <w:rFonts w:ascii="Arial Narrow" w:hAnsi="Arial Narrow" w:cs="Arial"/>
                <w:lang w:val="es-CO"/>
              </w:rPr>
              <w:t>embargo</w:t>
            </w:r>
            <w:proofErr w:type="gramEnd"/>
            <w:r w:rsidRPr="00ED337B">
              <w:rPr>
                <w:rFonts w:ascii="Arial Narrow" w:hAnsi="Arial Narrow" w:cs="Arial"/>
                <w:lang w:val="es-CO"/>
              </w:rPr>
              <w:t xml:space="preserve"> hasta la fecha el programa ha sido para empresas publicas. Esto a que se refiere.</w:t>
            </w:r>
          </w:p>
        </w:tc>
        <w:tc>
          <w:tcPr>
            <w:tcW w:w="7189" w:type="dxa"/>
          </w:tcPr>
          <w:p w14:paraId="0597C837" w14:textId="2AB85069" w:rsidR="00EA1094" w:rsidRDefault="002E3C26" w:rsidP="00E645C3">
            <w:pPr>
              <w:jc w:val="both"/>
              <w:rPr>
                <w:rFonts w:ascii="Arial Narrow" w:hAnsi="Arial Narrow" w:cs="Arial"/>
                <w:lang w:val="es-CO"/>
              </w:rPr>
            </w:pPr>
            <w:r>
              <w:rPr>
                <w:rFonts w:ascii="Arial Narrow" w:hAnsi="Arial Narrow" w:cs="Arial"/>
                <w:lang w:val="es-CO"/>
              </w:rPr>
              <w:t>El programa Estado Joven está destinado a financiar plazas de práctica en entidades públicas. De acuerdo con el objeto del programa se procede a realizar la debida corrección en el parágrafo 2 del artículo 6 del proyecto de pesolución.</w:t>
            </w:r>
          </w:p>
        </w:tc>
      </w:tr>
      <w:bookmarkEnd w:id="0"/>
    </w:tbl>
    <w:p w14:paraId="7F768386" w14:textId="77777777" w:rsidR="00EA1094" w:rsidRDefault="00EA1094" w:rsidP="00EA1094">
      <w:pPr>
        <w:jc w:val="both"/>
        <w:rPr>
          <w:rFonts w:ascii="Arial Narrow" w:hAnsi="Arial Narrow" w:cs="Arial"/>
          <w:lang w:val="es-CO"/>
        </w:rPr>
      </w:pPr>
    </w:p>
    <w:p w14:paraId="00B96EB6" w14:textId="0C1BA8B8" w:rsidR="00EA1094" w:rsidRDefault="00EA1094" w:rsidP="0081439C">
      <w:pPr>
        <w:jc w:val="both"/>
        <w:rPr>
          <w:rFonts w:ascii="Arial Narrow" w:hAnsi="Arial Narrow" w:cs="Arial"/>
          <w:lang w:val="es-CO"/>
        </w:rPr>
      </w:pPr>
    </w:p>
    <w:p w14:paraId="76227C6F" w14:textId="7916B8B7" w:rsidR="00EA1094" w:rsidRPr="00EA1094" w:rsidRDefault="00EA1094" w:rsidP="0081439C">
      <w:pPr>
        <w:jc w:val="both"/>
        <w:rPr>
          <w:rFonts w:ascii="Arial Narrow" w:hAnsi="Arial Narrow" w:cs="Arial"/>
          <w:b/>
          <w:lang w:val="es-CO"/>
        </w:rPr>
      </w:pPr>
      <w:r w:rsidRPr="00EA1094">
        <w:rPr>
          <w:rFonts w:ascii="Arial Narrow" w:hAnsi="Arial Narrow" w:cs="Arial"/>
          <w:b/>
          <w:lang w:val="es-CO"/>
        </w:rPr>
        <w:t>Comentarios</w:t>
      </w:r>
    </w:p>
    <w:p w14:paraId="0557C52E" w14:textId="44CCC49F" w:rsidR="00EA1094" w:rsidRDefault="00EA1094" w:rsidP="0081439C">
      <w:pPr>
        <w:jc w:val="both"/>
        <w:rPr>
          <w:rFonts w:ascii="Arial Narrow" w:hAnsi="Arial Narrow" w:cs="Arial"/>
          <w:lang w:val="es-CO"/>
        </w:rPr>
      </w:pPr>
      <w:r>
        <w:rPr>
          <w:rFonts w:ascii="Arial Narrow" w:hAnsi="Arial Narrow" w:cs="Arial"/>
          <w:lang w:val="es-CO"/>
        </w:rPr>
        <w:t xml:space="preserve">Ciudadano: </w:t>
      </w:r>
      <w:r w:rsidRPr="00EA1094">
        <w:rPr>
          <w:rFonts w:ascii="Arial Narrow" w:hAnsi="Arial Narrow" w:cs="Arial"/>
          <w:lang w:val="es-CO"/>
        </w:rPr>
        <w:t>María Isabel Carrascal Enriquez</w:t>
      </w:r>
    </w:p>
    <w:p w14:paraId="32611D4F" w14:textId="20F8030D" w:rsidR="00EA1094" w:rsidRDefault="00EA1094" w:rsidP="0081439C">
      <w:pPr>
        <w:jc w:val="both"/>
        <w:rPr>
          <w:rFonts w:ascii="Arial Narrow" w:hAnsi="Arial Narrow" w:cs="Arial"/>
          <w:lang w:val="es-CO"/>
        </w:rPr>
      </w:pPr>
      <w:r>
        <w:rPr>
          <w:rFonts w:ascii="Arial Narrow" w:hAnsi="Arial Narrow" w:cs="Arial"/>
          <w:lang w:val="es-CO"/>
        </w:rPr>
        <w:t>Entidad: Caja de Compensación Familiar Compensar</w:t>
      </w:r>
    </w:p>
    <w:p w14:paraId="61855FBF" w14:textId="4A0D9710" w:rsidR="00EA1094" w:rsidRDefault="00EA1094" w:rsidP="0081439C">
      <w:pPr>
        <w:jc w:val="both"/>
        <w:rPr>
          <w:rFonts w:ascii="Arial Narrow" w:hAnsi="Arial Narrow" w:cs="Arial"/>
          <w:lang w:val="es-CO"/>
        </w:rPr>
      </w:pPr>
      <w:r>
        <w:rPr>
          <w:rFonts w:ascii="Arial Narrow" w:hAnsi="Arial Narrow" w:cs="Arial"/>
          <w:lang w:val="es-CO"/>
        </w:rPr>
        <w:t xml:space="preserve">Fecha: </w:t>
      </w:r>
      <w:r w:rsidR="00ED337B">
        <w:rPr>
          <w:rFonts w:ascii="Arial Narrow" w:hAnsi="Arial Narrow" w:cs="Arial"/>
          <w:lang w:val="es-CO"/>
        </w:rPr>
        <w:t>2</w:t>
      </w:r>
      <w:r>
        <w:rPr>
          <w:rFonts w:ascii="Arial Narrow" w:hAnsi="Arial Narrow" w:cs="Arial"/>
          <w:lang w:val="es-CO"/>
        </w:rPr>
        <w:t xml:space="preserve">8 de </w:t>
      </w:r>
      <w:proofErr w:type="gramStart"/>
      <w:r>
        <w:rPr>
          <w:rFonts w:ascii="Arial Narrow" w:hAnsi="Arial Narrow" w:cs="Arial"/>
          <w:lang w:val="es-CO"/>
        </w:rPr>
        <w:t>Octubre</w:t>
      </w:r>
      <w:proofErr w:type="gramEnd"/>
      <w:r>
        <w:rPr>
          <w:rFonts w:ascii="Arial Narrow" w:hAnsi="Arial Narrow" w:cs="Arial"/>
          <w:lang w:val="es-CO"/>
        </w:rPr>
        <w:t xml:space="preserve"> de 2018</w:t>
      </w:r>
    </w:p>
    <w:p w14:paraId="1ACBD10B" w14:textId="77777777" w:rsidR="00EA1094" w:rsidRDefault="00EA1094" w:rsidP="0081439C">
      <w:pPr>
        <w:jc w:val="both"/>
        <w:rPr>
          <w:rFonts w:ascii="Arial Narrow" w:hAnsi="Arial Narrow" w:cs="Arial"/>
          <w:lang w:val="es-CO"/>
        </w:rPr>
      </w:pPr>
    </w:p>
    <w:tbl>
      <w:tblPr>
        <w:tblStyle w:val="Tablaconcuadrcula"/>
        <w:tblW w:w="0" w:type="auto"/>
        <w:tblLook w:val="04A0" w:firstRow="1" w:lastRow="0" w:firstColumn="1" w:lastColumn="0" w:noHBand="0" w:noVBand="1"/>
      </w:tblPr>
      <w:tblGrid>
        <w:gridCol w:w="479"/>
        <w:gridCol w:w="5328"/>
        <w:gridCol w:w="7189"/>
      </w:tblGrid>
      <w:tr w:rsidR="00EA1094" w14:paraId="4C7A353D" w14:textId="77777777" w:rsidTr="00EA1094">
        <w:tc>
          <w:tcPr>
            <w:tcW w:w="479" w:type="dxa"/>
          </w:tcPr>
          <w:p w14:paraId="587BD16A" w14:textId="28E14BF3" w:rsidR="00EA1094" w:rsidRPr="00EA1094" w:rsidRDefault="00EA1094" w:rsidP="00EA1094">
            <w:pPr>
              <w:jc w:val="center"/>
              <w:rPr>
                <w:rFonts w:ascii="Arial Narrow" w:hAnsi="Arial Narrow" w:cs="Arial"/>
                <w:b/>
                <w:lang w:val="es-CO"/>
              </w:rPr>
            </w:pPr>
            <w:r>
              <w:rPr>
                <w:rFonts w:ascii="Arial Narrow" w:hAnsi="Arial Narrow" w:cs="Arial"/>
                <w:b/>
                <w:lang w:val="es-CO"/>
              </w:rPr>
              <w:t>No</w:t>
            </w:r>
          </w:p>
        </w:tc>
        <w:tc>
          <w:tcPr>
            <w:tcW w:w="5328" w:type="dxa"/>
          </w:tcPr>
          <w:p w14:paraId="211DAFDE" w14:textId="39FB3529" w:rsidR="00EA1094" w:rsidRPr="00EA1094" w:rsidRDefault="00EA1094" w:rsidP="00EA1094">
            <w:pPr>
              <w:jc w:val="center"/>
              <w:rPr>
                <w:rFonts w:ascii="Arial Narrow" w:hAnsi="Arial Narrow" w:cs="Arial"/>
                <w:b/>
                <w:lang w:val="es-CO"/>
              </w:rPr>
            </w:pPr>
            <w:r>
              <w:rPr>
                <w:rFonts w:ascii="Arial Narrow" w:hAnsi="Arial Narrow" w:cs="Arial"/>
                <w:b/>
                <w:lang w:val="es-CO"/>
              </w:rPr>
              <w:t>Observación</w:t>
            </w:r>
          </w:p>
        </w:tc>
        <w:tc>
          <w:tcPr>
            <w:tcW w:w="7189" w:type="dxa"/>
          </w:tcPr>
          <w:p w14:paraId="0AF0A1C2" w14:textId="69F21B29" w:rsidR="00EA1094" w:rsidRPr="00EA1094" w:rsidRDefault="00EA1094" w:rsidP="00EA1094">
            <w:pPr>
              <w:jc w:val="center"/>
              <w:rPr>
                <w:rFonts w:ascii="Arial Narrow" w:hAnsi="Arial Narrow" w:cs="Arial"/>
                <w:b/>
                <w:lang w:val="es-CO"/>
              </w:rPr>
            </w:pPr>
            <w:r>
              <w:rPr>
                <w:rFonts w:ascii="Arial Narrow" w:hAnsi="Arial Narrow" w:cs="Arial"/>
                <w:b/>
                <w:lang w:val="es-CO"/>
              </w:rPr>
              <w:t>Respuesta</w:t>
            </w:r>
          </w:p>
        </w:tc>
      </w:tr>
      <w:tr w:rsidR="002E3C26" w14:paraId="3C9B2F60" w14:textId="77777777" w:rsidTr="00545389">
        <w:tc>
          <w:tcPr>
            <w:tcW w:w="479" w:type="dxa"/>
            <w:vAlign w:val="center"/>
          </w:tcPr>
          <w:p w14:paraId="075953FC" w14:textId="662B7FD1" w:rsidR="002E3C26" w:rsidRDefault="002E3C26" w:rsidP="002E3C26">
            <w:pPr>
              <w:jc w:val="center"/>
              <w:rPr>
                <w:rFonts w:ascii="Arial Narrow" w:hAnsi="Arial Narrow" w:cs="Arial"/>
                <w:lang w:val="es-CO"/>
              </w:rPr>
            </w:pPr>
            <w:r>
              <w:rPr>
                <w:rFonts w:ascii="Arial Narrow" w:hAnsi="Arial Narrow" w:cs="Arial"/>
                <w:lang w:val="es-CO"/>
              </w:rPr>
              <w:t>1</w:t>
            </w:r>
          </w:p>
        </w:tc>
        <w:tc>
          <w:tcPr>
            <w:tcW w:w="5328" w:type="dxa"/>
          </w:tcPr>
          <w:p w14:paraId="08F79077" w14:textId="07CD7E8D" w:rsidR="002E3C26" w:rsidRDefault="002E3C26" w:rsidP="002E3C26">
            <w:pPr>
              <w:jc w:val="both"/>
              <w:rPr>
                <w:rFonts w:ascii="Arial Narrow" w:hAnsi="Arial Narrow" w:cs="Arial"/>
                <w:lang w:val="es-CO"/>
              </w:rPr>
            </w:pPr>
            <w:proofErr w:type="gramStart"/>
            <w:r w:rsidRPr="00EA1094">
              <w:rPr>
                <w:rFonts w:ascii="Arial Narrow" w:hAnsi="Arial Narrow" w:cs="Arial"/>
                <w:lang w:val="es-CO"/>
              </w:rPr>
              <w:t>Las plazas para prácticas del programa Estado Joven AHORA también cubrirá entidades privadas?</w:t>
            </w:r>
            <w:proofErr w:type="gramEnd"/>
            <w:r w:rsidRPr="00EA1094">
              <w:rPr>
                <w:rFonts w:ascii="Arial Narrow" w:hAnsi="Arial Narrow" w:cs="Arial"/>
                <w:lang w:val="es-CO"/>
              </w:rPr>
              <w:t xml:space="preserve"> O a que se refiere la frase ¿“plazas para prácticas en entidades del orden público y privado en el marco del programa Estado Joven”?</w:t>
            </w:r>
          </w:p>
        </w:tc>
        <w:tc>
          <w:tcPr>
            <w:tcW w:w="7189" w:type="dxa"/>
            <w:vAlign w:val="center"/>
          </w:tcPr>
          <w:p w14:paraId="1C6DD543" w14:textId="6FBDE7D3" w:rsidR="002E3C26" w:rsidRDefault="002E3C26" w:rsidP="00545389">
            <w:pPr>
              <w:rPr>
                <w:rFonts w:ascii="Arial Narrow" w:hAnsi="Arial Narrow" w:cs="Arial"/>
                <w:lang w:val="es-CO"/>
              </w:rPr>
            </w:pPr>
            <w:r>
              <w:rPr>
                <w:rFonts w:ascii="Arial Narrow" w:hAnsi="Arial Narrow" w:cs="Arial"/>
                <w:lang w:val="es-CO"/>
              </w:rPr>
              <w:t>El programa Estado Joven está destinado a financiar plazas de práctica en entidades públicas. De acuerdo con el objeto del programa se procede a realizar la debida corrección en el parágrafo 2 del artículo 6 del proyecto de pesolución.</w:t>
            </w:r>
          </w:p>
        </w:tc>
      </w:tr>
      <w:tr w:rsidR="002E3C26" w14:paraId="17D87AE1" w14:textId="77777777" w:rsidTr="00545389">
        <w:tc>
          <w:tcPr>
            <w:tcW w:w="479" w:type="dxa"/>
            <w:vAlign w:val="center"/>
          </w:tcPr>
          <w:p w14:paraId="28754D05" w14:textId="283FC8AC" w:rsidR="002E3C26" w:rsidRDefault="002E3C26" w:rsidP="002E3C26">
            <w:pPr>
              <w:jc w:val="center"/>
              <w:rPr>
                <w:rFonts w:ascii="Arial Narrow" w:hAnsi="Arial Narrow" w:cs="Arial"/>
                <w:lang w:val="es-CO"/>
              </w:rPr>
            </w:pPr>
            <w:r>
              <w:rPr>
                <w:rFonts w:ascii="Arial Narrow" w:hAnsi="Arial Narrow" w:cs="Arial"/>
                <w:lang w:val="es-CO"/>
              </w:rPr>
              <w:t>2</w:t>
            </w:r>
          </w:p>
        </w:tc>
        <w:tc>
          <w:tcPr>
            <w:tcW w:w="5328" w:type="dxa"/>
            <w:vAlign w:val="center"/>
          </w:tcPr>
          <w:p w14:paraId="371875CF" w14:textId="187B996B" w:rsidR="002E3C26" w:rsidRDefault="002E3C26" w:rsidP="00545389">
            <w:pPr>
              <w:rPr>
                <w:rFonts w:ascii="Arial Narrow" w:hAnsi="Arial Narrow" w:cs="Arial"/>
                <w:lang w:val="es-CO"/>
              </w:rPr>
            </w:pPr>
            <w:r w:rsidRPr="00EA1094">
              <w:rPr>
                <w:rFonts w:ascii="Arial Narrow" w:hAnsi="Arial Narrow" w:cs="Arial"/>
                <w:lang w:val="es-CO"/>
              </w:rPr>
              <w:t>Con relación a los recursos destinados a programas y proyectos especiales, no es claro si cuando las Cajas tomen entre el 1.5% y el 2% de los recursos del FOSFEC (una vez descontados los gastos de administración), el porcentaje total podría superar el rango definido en la tabla para el Rubro de Servicios de Gestión y Colocación.</w:t>
            </w:r>
          </w:p>
        </w:tc>
        <w:tc>
          <w:tcPr>
            <w:tcW w:w="7189" w:type="dxa"/>
          </w:tcPr>
          <w:p w14:paraId="411B8B28" w14:textId="36DDA3B2" w:rsidR="002E3C26" w:rsidRDefault="00545389" w:rsidP="002E3C26">
            <w:pPr>
              <w:jc w:val="both"/>
              <w:rPr>
                <w:rFonts w:ascii="Arial Narrow" w:hAnsi="Arial Narrow" w:cs="Arial"/>
                <w:lang w:val="es-CO"/>
              </w:rPr>
            </w:pPr>
            <w:r>
              <w:rPr>
                <w:rFonts w:ascii="Arial Narrow" w:hAnsi="Arial Narrow" w:cs="Arial"/>
                <w:lang w:val="es-CO"/>
              </w:rPr>
              <w:t xml:space="preserve">La suma </w:t>
            </w:r>
            <w:proofErr w:type="gramStart"/>
            <w:r>
              <w:rPr>
                <w:rFonts w:ascii="Arial Narrow" w:hAnsi="Arial Narrow" w:cs="Arial"/>
                <w:lang w:val="es-CO"/>
              </w:rPr>
              <w:t>de los porcentaje destinado</w:t>
            </w:r>
            <w:proofErr w:type="gramEnd"/>
            <w:r>
              <w:rPr>
                <w:rFonts w:ascii="Arial Narrow" w:hAnsi="Arial Narrow" w:cs="Arial"/>
                <w:lang w:val="es-CO"/>
              </w:rPr>
              <w:t xml:space="preserve"> para financiar las Subcuentas Operativas del Mecanismo de Protección al Cesante debe ser igual a 100%. Tenga que cuenta los recursos para el Programa Estado Joven hacen parte del porcentaje determinado para la Subcuenta de Gestión y Colocación de Empleo. </w:t>
            </w:r>
          </w:p>
          <w:p w14:paraId="077DAEEB" w14:textId="15C852C2" w:rsidR="002E3C26" w:rsidRDefault="002E3C26" w:rsidP="002E3C26">
            <w:pPr>
              <w:jc w:val="both"/>
              <w:rPr>
                <w:rFonts w:ascii="Arial Narrow" w:hAnsi="Arial Narrow" w:cs="Arial"/>
                <w:lang w:val="es-CO"/>
              </w:rPr>
            </w:pPr>
            <w:r>
              <w:rPr>
                <w:rFonts w:ascii="Arial Narrow" w:hAnsi="Arial Narrow" w:cs="Arial"/>
                <w:lang w:val="es-CO"/>
              </w:rPr>
              <w:t xml:space="preserve">De acuerdo con el parágrafo 2 del artículo 6 del proyecto de Resolución los recursos destinados para financiar el Programa Estado Joven deberán ser </w:t>
            </w:r>
            <w:r>
              <w:rPr>
                <w:rFonts w:ascii="Arial Narrow" w:hAnsi="Arial Narrow" w:cs="Arial"/>
                <w:lang w:val="es-CO"/>
              </w:rPr>
              <w:lastRenderedPageBreak/>
              <w:t xml:space="preserve">tenidos en cuenta dentro los recursos tomados para la Subcuenta de Gestión y Colocación de Empleo. </w:t>
            </w:r>
          </w:p>
          <w:p w14:paraId="406C5A7E" w14:textId="7BAC2304" w:rsidR="002E3C26" w:rsidRDefault="002E3C26" w:rsidP="002E3C26">
            <w:pPr>
              <w:jc w:val="both"/>
              <w:rPr>
                <w:rFonts w:ascii="Arial Narrow" w:hAnsi="Arial Narrow" w:cs="Arial"/>
                <w:lang w:val="es-CO"/>
              </w:rPr>
            </w:pPr>
            <w:r>
              <w:rPr>
                <w:rFonts w:ascii="Arial Narrow" w:hAnsi="Arial Narrow" w:cs="Arial"/>
                <w:lang w:val="es-CO"/>
              </w:rPr>
              <w:t>Así las cosas, en caso en que la Caja de Compensación Familiar decida tomar el 20% de los recursos del Fosfec para la para la Subcuenta de Gestión y Colocación de Empleo, luego de descontar los gastos de adminstración, y además decida usar el 2% para financiar el Programa Estado Joven, se entenderá que el 18% remanente serán los recursos netos para prestar los servicios asociados a dicha subcuenta.</w:t>
            </w:r>
          </w:p>
        </w:tc>
      </w:tr>
      <w:tr w:rsidR="002E3C26" w14:paraId="7B74DF42" w14:textId="77777777" w:rsidTr="00545389">
        <w:tc>
          <w:tcPr>
            <w:tcW w:w="479" w:type="dxa"/>
            <w:vAlign w:val="center"/>
          </w:tcPr>
          <w:p w14:paraId="66EEBAD0" w14:textId="58B96547" w:rsidR="002E3C26" w:rsidRDefault="002E3C26" w:rsidP="002E3C26">
            <w:pPr>
              <w:jc w:val="center"/>
              <w:rPr>
                <w:rFonts w:ascii="Arial Narrow" w:hAnsi="Arial Narrow" w:cs="Arial"/>
                <w:lang w:val="es-CO"/>
              </w:rPr>
            </w:pPr>
            <w:r>
              <w:rPr>
                <w:rFonts w:ascii="Arial Narrow" w:hAnsi="Arial Narrow" w:cs="Arial"/>
                <w:lang w:val="es-CO"/>
              </w:rPr>
              <w:lastRenderedPageBreak/>
              <w:t>3</w:t>
            </w:r>
          </w:p>
        </w:tc>
        <w:tc>
          <w:tcPr>
            <w:tcW w:w="5328" w:type="dxa"/>
          </w:tcPr>
          <w:p w14:paraId="6F81BCCA" w14:textId="1704A53A" w:rsidR="002E3C26" w:rsidRDefault="002E3C26" w:rsidP="002E3C26">
            <w:pPr>
              <w:jc w:val="both"/>
              <w:rPr>
                <w:rFonts w:ascii="Arial Narrow" w:hAnsi="Arial Narrow" w:cs="Arial"/>
                <w:lang w:val="es-CO"/>
              </w:rPr>
            </w:pPr>
            <w:r w:rsidRPr="00EA1094">
              <w:rPr>
                <w:rFonts w:ascii="Arial Narrow" w:hAnsi="Arial Narrow" w:cs="Arial"/>
                <w:lang w:val="es-CO"/>
              </w:rPr>
              <w:t xml:space="preserve">En el mismo parágrafo 2 dice: “con el fin de financiar programas y proyectos orientados a fomentar y promocionar la vinculación de población priorizada en puestos de trabajo o plazas para prácticas en entidades del orden público y privado en el marco del programa Estado Joven¨ se van a cubrir plazas laborales normales ahora dentro del programa? </w:t>
            </w:r>
            <w:r w:rsidR="009C5A94" w:rsidRPr="00EA1094">
              <w:rPr>
                <w:rFonts w:ascii="Arial Narrow" w:hAnsi="Arial Narrow" w:cs="Arial"/>
                <w:lang w:val="es-CO"/>
              </w:rPr>
              <w:t>¿Se va a fusionar 40 mil primeros empleos con Estado Joven?</w:t>
            </w:r>
          </w:p>
        </w:tc>
        <w:tc>
          <w:tcPr>
            <w:tcW w:w="7189" w:type="dxa"/>
            <w:vAlign w:val="center"/>
          </w:tcPr>
          <w:p w14:paraId="2B051972" w14:textId="77777777" w:rsidR="002E3C26" w:rsidRDefault="00545389" w:rsidP="00545389">
            <w:pPr>
              <w:rPr>
                <w:rFonts w:ascii="Arial Narrow" w:hAnsi="Arial Narrow" w:cs="Arial"/>
                <w:lang w:val="es-CO"/>
              </w:rPr>
            </w:pPr>
            <w:r>
              <w:rPr>
                <w:rFonts w:ascii="Arial Narrow" w:hAnsi="Arial Narrow" w:cs="Arial"/>
                <w:lang w:val="es-CO"/>
              </w:rPr>
              <w:t>El programa Estado Joven está destinado a financiar plazas de práctica en entidades públicas. De acuerdo con el objeto del programa se procede a realizar la debida corrección en el parágrafo 2 del artículo 6 del proyecto de pesolución.</w:t>
            </w:r>
          </w:p>
          <w:p w14:paraId="5F347B8E" w14:textId="1262B437" w:rsidR="00545389" w:rsidRDefault="00545389" w:rsidP="00545389">
            <w:pPr>
              <w:rPr>
                <w:rFonts w:ascii="Arial Narrow" w:hAnsi="Arial Narrow" w:cs="Arial"/>
                <w:lang w:val="es-CO"/>
              </w:rPr>
            </w:pPr>
            <w:r>
              <w:rPr>
                <w:rFonts w:ascii="Arial Narrow" w:hAnsi="Arial Narrow" w:cs="Arial"/>
                <w:lang w:val="es-CO"/>
              </w:rPr>
              <w:t xml:space="preserve">El programa Estado Joven no se fucionará con el Programa </w:t>
            </w:r>
            <w:r w:rsidRPr="00EA1094">
              <w:rPr>
                <w:rFonts w:ascii="Arial Narrow" w:hAnsi="Arial Narrow" w:cs="Arial"/>
                <w:lang w:val="es-CO"/>
              </w:rPr>
              <w:t xml:space="preserve">40 mil </w:t>
            </w:r>
            <w:r>
              <w:rPr>
                <w:rFonts w:ascii="Arial Narrow" w:hAnsi="Arial Narrow" w:cs="Arial"/>
                <w:lang w:val="es-CO"/>
              </w:rPr>
              <w:t>P</w:t>
            </w:r>
            <w:r w:rsidRPr="00EA1094">
              <w:rPr>
                <w:rFonts w:ascii="Arial Narrow" w:hAnsi="Arial Narrow" w:cs="Arial"/>
                <w:lang w:val="es-CO"/>
              </w:rPr>
              <w:t xml:space="preserve">rimeros </w:t>
            </w:r>
            <w:r>
              <w:rPr>
                <w:rFonts w:ascii="Arial Narrow" w:hAnsi="Arial Narrow" w:cs="Arial"/>
                <w:lang w:val="es-CO"/>
              </w:rPr>
              <w:t>E</w:t>
            </w:r>
            <w:r w:rsidRPr="00EA1094">
              <w:rPr>
                <w:rFonts w:ascii="Arial Narrow" w:hAnsi="Arial Narrow" w:cs="Arial"/>
                <w:lang w:val="es-CO"/>
              </w:rPr>
              <w:t>mpleos</w:t>
            </w:r>
          </w:p>
        </w:tc>
      </w:tr>
      <w:tr w:rsidR="002E3C26" w14:paraId="0714E5E7" w14:textId="77777777" w:rsidTr="004B184C">
        <w:tc>
          <w:tcPr>
            <w:tcW w:w="479" w:type="dxa"/>
            <w:vAlign w:val="center"/>
          </w:tcPr>
          <w:p w14:paraId="4DA5DDAA" w14:textId="5B6F329A" w:rsidR="002E3C26" w:rsidRDefault="002E3C26" w:rsidP="002E3C26">
            <w:pPr>
              <w:jc w:val="center"/>
              <w:rPr>
                <w:rFonts w:ascii="Arial Narrow" w:hAnsi="Arial Narrow" w:cs="Arial"/>
                <w:lang w:val="es-CO"/>
              </w:rPr>
            </w:pPr>
            <w:r>
              <w:rPr>
                <w:rFonts w:ascii="Arial Narrow" w:hAnsi="Arial Narrow" w:cs="Arial"/>
                <w:lang w:val="es-CO"/>
              </w:rPr>
              <w:t>4</w:t>
            </w:r>
          </w:p>
        </w:tc>
        <w:tc>
          <w:tcPr>
            <w:tcW w:w="5328" w:type="dxa"/>
            <w:vAlign w:val="center"/>
          </w:tcPr>
          <w:p w14:paraId="6F3591CE" w14:textId="44104A72" w:rsidR="002E3C26" w:rsidRDefault="002E3C26" w:rsidP="004B184C">
            <w:pPr>
              <w:rPr>
                <w:rFonts w:ascii="Arial Narrow" w:hAnsi="Arial Narrow" w:cs="Arial"/>
                <w:lang w:val="es-CO"/>
              </w:rPr>
            </w:pPr>
            <w:proofErr w:type="gramStart"/>
            <w:r w:rsidRPr="00EA1094">
              <w:rPr>
                <w:rFonts w:ascii="Arial Narrow" w:hAnsi="Arial Narrow" w:cs="Arial"/>
                <w:lang w:val="es-CO"/>
              </w:rPr>
              <w:t xml:space="preserve">Es viable que la </w:t>
            </w:r>
            <w:r w:rsidR="009C5A94" w:rsidRPr="00EA1094">
              <w:rPr>
                <w:rFonts w:ascii="Arial Narrow" w:hAnsi="Arial Narrow" w:cs="Arial"/>
                <w:lang w:val="es-CO"/>
              </w:rPr>
              <w:t>nueva distribución</w:t>
            </w:r>
            <w:r w:rsidRPr="00EA1094">
              <w:rPr>
                <w:rFonts w:ascii="Arial Narrow" w:hAnsi="Arial Narrow" w:cs="Arial"/>
                <w:lang w:val="es-CO"/>
              </w:rPr>
              <w:t xml:space="preserve"> de porcentajes del fondo sea establecida por una vigencia más amplia al 2019?</w:t>
            </w:r>
            <w:proofErr w:type="gramEnd"/>
            <w:r w:rsidRPr="00EA1094">
              <w:rPr>
                <w:rFonts w:ascii="Arial Narrow" w:hAnsi="Arial Narrow" w:cs="Arial"/>
                <w:lang w:val="es-CO"/>
              </w:rPr>
              <w:t xml:space="preserve"> Esto con el fin de que las Cajas podamos planear programas o proyectos de largo plazo que permita tener cierta estabilidad financiera.</w:t>
            </w:r>
          </w:p>
        </w:tc>
        <w:tc>
          <w:tcPr>
            <w:tcW w:w="7189" w:type="dxa"/>
          </w:tcPr>
          <w:p w14:paraId="75277DE0" w14:textId="05AAC4D2" w:rsidR="002E3C26" w:rsidRDefault="00545389" w:rsidP="002E3C26">
            <w:pPr>
              <w:jc w:val="both"/>
              <w:rPr>
                <w:rFonts w:ascii="Arial Narrow" w:hAnsi="Arial Narrow" w:cs="Arial"/>
                <w:lang w:val="es-CO"/>
              </w:rPr>
            </w:pPr>
            <w:r>
              <w:rPr>
                <w:rFonts w:ascii="Arial Narrow" w:hAnsi="Arial Narrow" w:cs="Arial"/>
                <w:lang w:val="es-CO"/>
              </w:rPr>
              <w:t xml:space="preserve">El Proyecto de Resolución </w:t>
            </w:r>
            <w:r w:rsidRPr="00545389">
              <w:rPr>
                <w:rFonts w:ascii="Arial Narrow" w:hAnsi="Arial Narrow" w:cs="Arial"/>
                <w:lang w:val="es-CO"/>
              </w:rPr>
              <w:t>Por medio de la cual se adopta la distribución anual de recursos del Fondo de Solidaridad de Fomento al Empleo y Protección al Cesante – FOSFEC y se dictan otras disposiciones</w:t>
            </w:r>
            <w:r w:rsidR="004B184C">
              <w:rPr>
                <w:rFonts w:ascii="Arial Narrow" w:hAnsi="Arial Narrow" w:cs="Arial"/>
                <w:lang w:val="es-CO"/>
              </w:rPr>
              <w:t xml:space="preserve">, entra en vigencia a partir del 1 de enero del 2019 y será el documento de referencia para la distribución de los recursos Fosfec hasta que así se disponga por medio la emisión de una nueva normatividad de conformidad con </w:t>
            </w:r>
            <w:r w:rsidR="004B184C" w:rsidRPr="004B184C">
              <w:rPr>
                <w:rFonts w:ascii="Arial Narrow" w:hAnsi="Arial Narrow" w:cs="Arial"/>
                <w:lang w:val="es-CO"/>
              </w:rPr>
              <w:t xml:space="preserve">el numeral 3° del artículo 2.2.6.1.3.13 del Decreto 1072 de 2015, Decreto Único Reglamentario del Sector Trabajo, </w:t>
            </w:r>
            <w:r w:rsidR="004B184C">
              <w:rPr>
                <w:rFonts w:ascii="Arial Narrow" w:hAnsi="Arial Narrow" w:cs="Arial"/>
                <w:lang w:val="es-CO"/>
              </w:rPr>
              <w:t>el cual establece que e</w:t>
            </w:r>
            <w:r w:rsidR="004B184C" w:rsidRPr="004B184C">
              <w:rPr>
                <w:rFonts w:ascii="Arial Narrow" w:hAnsi="Arial Narrow" w:cs="Arial"/>
                <w:lang w:val="es-CO"/>
              </w:rPr>
              <w:t>l Ministerio del Trabajo</w:t>
            </w:r>
            <w:r w:rsidR="004B184C">
              <w:rPr>
                <w:rFonts w:ascii="Arial Narrow" w:hAnsi="Arial Narrow" w:cs="Arial"/>
                <w:lang w:val="es-CO"/>
              </w:rPr>
              <w:t xml:space="preserve"> debe dictar anualmente este lineamiento.</w:t>
            </w:r>
          </w:p>
        </w:tc>
      </w:tr>
    </w:tbl>
    <w:p w14:paraId="479AAF29" w14:textId="77777777" w:rsidR="00EA1094" w:rsidRDefault="00EA1094" w:rsidP="0081439C">
      <w:pPr>
        <w:jc w:val="both"/>
        <w:rPr>
          <w:rFonts w:ascii="Arial Narrow" w:hAnsi="Arial Narrow" w:cs="Arial"/>
          <w:lang w:val="es-CO"/>
        </w:rPr>
      </w:pPr>
    </w:p>
    <w:p w14:paraId="5EF92FAF" w14:textId="18A73FD1" w:rsidR="0081439C" w:rsidRPr="00EA1094" w:rsidRDefault="0081439C" w:rsidP="0081439C">
      <w:pPr>
        <w:jc w:val="both"/>
        <w:rPr>
          <w:lang w:val="es-CO"/>
        </w:rPr>
      </w:pPr>
    </w:p>
    <w:p w14:paraId="749B71CB" w14:textId="77777777" w:rsidR="002B79F0" w:rsidRPr="007575F2" w:rsidRDefault="002B79F0" w:rsidP="002B79F0">
      <w:pPr>
        <w:jc w:val="both"/>
        <w:rPr>
          <w:b/>
        </w:rPr>
      </w:pPr>
      <w:r w:rsidRPr="007575F2">
        <w:rPr>
          <w:b/>
        </w:rPr>
        <w:t>Comentarios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436"/>
      </w:tblGrid>
      <w:tr w:rsidR="002B79F0" w14:paraId="4BAB945D" w14:textId="77777777" w:rsidTr="002B79F0">
        <w:trPr>
          <w:trHeight w:val="142"/>
        </w:trPr>
        <w:tc>
          <w:tcPr>
            <w:tcW w:w="12436" w:type="dxa"/>
          </w:tcPr>
          <w:p w14:paraId="2085E4E9" w14:textId="7A726130" w:rsidR="002B79F0" w:rsidRDefault="002B79F0" w:rsidP="002B79F0">
            <w:pPr>
              <w:pStyle w:val="Default"/>
              <w:ind w:right="-6475"/>
              <w:rPr>
                <w:sz w:val="23"/>
                <w:szCs w:val="23"/>
              </w:rPr>
            </w:pPr>
            <w:r>
              <w:rPr>
                <w:sz w:val="23"/>
                <w:szCs w:val="23"/>
              </w:rPr>
              <w:t xml:space="preserve">Producto de la reunión sobre la Socialización y levantamiento de información de los proyectos de resolución </w:t>
            </w:r>
          </w:p>
        </w:tc>
      </w:tr>
    </w:tbl>
    <w:p w14:paraId="0AFB97E8" w14:textId="10587428" w:rsidR="002B79F0" w:rsidRDefault="002B79F0" w:rsidP="002B79F0">
      <w:pPr>
        <w:jc w:val="both"/>
      </w:pPr>
      <w:r>
        <w:t>Entidad: Caja de Compensación Familiar Compensar</w:t>
      </w:r>
    </w:p>
    <w:p w14:paraId="6347F656" w14:textId="62C749E3" w:rsidR="0081439C" w:rsidRDefault="002B79F0" w:rsidP="002B79F0">
      <w:pPr>
        <w:jc w:val="both"/>
      </w:pPr>
      <w:r>
        <w:t>Fecha: 2</w:t>
      </w:r>
      <w:r w:rsidR="00EC359F">
        <w:t>9</w:t>
      </w:r>
      <w:r>
        <w:t xml:space="preserve"> de </w:t>
      </w:r>
      <w:proofErr w:type="gramStart"/>
      <w:r>
        <w:t>Octubre</w:t>
      </w:r>
      <w:proofErr w:type="gramEnd"/>
      <w:r>
        <w:t xml:space="preserve"> de 2018</w:t>
      </w:r>
    </w:p>
    <w:p w14:paraId="2C912117" w14:textId="56AF36B0" w:rsidR="007575F2" w:rsidRDefault="007575F2" w:rsidP="002B79F0">
      <w:pPr>
        <w:jc w:val="both"/>
      </w:pPr>
    </w:p>
    <w:p w14:paraId="1AD1D4C8" w14:textId="7EDCC422" w:rsidR="007575F2" w:rsidRDefault="007575F2" w:rsidP="002B79F0">
      <w:pPr>
        <w:jc w:val="both"/>
      </w:pPr>
    </w:p>
    <w:p w14:paraId="765D577E" w14:textId="75F26273" w:rsidR="007575F2" w:rsidRDefault="007575F2" w:rsidP="002B79F0">
      <w:pPr>
        <w:jc w:val="both"/>
      </w:pPr>
    </w:p>
    <w:p w14:paraId="6EB7C259" w14:textId="1AA7B1D1" w:rsidR="007575F2" w:rsidRDefault="007575F2" w:rsidP="002B79F0">
      <w:pPr>
        <w:jc w:val="both"/>
      </w:pPr>
    </w:p>
    <w:tbl>
      <w:tblPr>
        <w:tblStyle w:val="Tablaconcuadrcula"/>
        <w:tblW w:w="0" w:type="auto"/>
        <w:tblLook w:val="04A0" w:firstRow="1" w:lastRow="0" w:firstColumn="1" w:lastColumn="0" w:noHBand="0" w:noVBand="1"/>
      </w:tblPr>
      <w:tblGrid>
        <w:gridCol w:w="479"/>
        <w:gridCol w:w="5328"/>
        <w:gridCol w:w="7189"/>
      </w:tblGrid>
      <w:tr w:rsidR="007575F2" w14:paraId="61273AA7" w14:textId="77777777" w:rsidTr="00E00F34">
        <w:tc>
          <w:tcPr>
            <w:tcW w:w="479" w:type="dxa"/>
          </w:tcPr>
          <w:p w14:paraId="4BFD3947" w14:textId="77777777" w:rsidR="007575F2" w:rsidRPr="00EA1094" w:rsidRDefault="007575F2" w:rsidP="00E00F34">
            <w:pPr>
              <w:jc w:val="center"/>
              <w:rPr>
                <w:rFonts w:ascii="Arial Narrow" w:hAnsi="Arial Narrow" w:cs="Arial"/>
                <w:b/>
                <w:lang w:val="es-CO"/>
              </w:rPr>
            </w:pPr>
            <w:r>
              <w:rPr>
                <w:rFonts w:ascii="Arial Narrow" w:hAnsi="Arial Narrow" w:cs="Arial"/>
                <w:b/>
                <w:lang w:val="es-CO"/>
              </w:rPr>
              <w:t>No</w:t>
            </w:r>
          </w:p>
        </w:tc>
        <w:tc>
          <w:tcPr>
            <w:tcW w:w="5328" w:type="dxa"/>
          </w:tcPr>
          <w:p w14:paraId="4C8B3D32" w14:textId="77777777" w:rsidR="007575F2" w:rsidRPr="00EA1094" w:rsidRDefault="007575F2" w:rsidP="00E00F34">
            <w:pPr>
              <w:jc w:val="center"/>
              <w:rPr>
                <w:rFonts w:ascii="Arial Narrow" w:hAnsi="Arial Narrow" w:cs="Arial"/>
                <w:b/>
                <w:lang w:val="es-CO"/>
              </w:rPr>
            </w:pPr>
            <w:r>
              <w:rPr>
                <w:rFonts w:ascii="Arial Narrow" w:hAnsi="Arial Narrow" w:cs="Arial"/>
                <w:b/>
                <w:lang w:val="es-CO"/>
              </w:rPr>
              <w:t>Observación</w:t>
            </w:r>
          </w:p>
        </w:tc>
        <w:tc>
          <w:tcPr>
            <w:tcW w:w="7189" w:type="dxa"/>
          </w:tcPr>
          <w:p w14:paraId="14B7904B" w14:textId="77777777" w:rsidR="007575F2" w:rsidRPr="00EA1094" w:rsidRDefault="007575F2" w:rsidP="00E00F34">
            <w:pPr>
              <w:jc w:val="center"/>
              <w:rPr>
                <w:rFonts w:ascii="Arial Narrow" w:hAnsi="Arial Narrow" w:cs="Arial"/>
                <w:b/>
                <w:lang w:val="es-CO"/>
              </w:rPr>
            </w:pPr>
            <w:r>
              <w:rPr>
                <w:rFonts w:ascii="Arial Narrow" w:hAnsi="Arial Narrow" w:cs="Arial"/>
                <w:b/>
                <w:lang w:val="es-CO"/>
              </w:rPr>
              <w:t>Respuesta</w:t>
            </w:r>
          </w:p>
        </w:tc>
      </w:tr>
      <w:tr w:rsidR="007575F2" w14:paraId="6F266FD7" w14:textId="77777777" w:rsidTr="00302942">
        <w:tc>
          <w:tcPr>
            <w:tcW w:w="479" w:type="dxa"/>
            <w:vAlign w:val="center"/>
          </w:tcPr>
          <w:p w14:paraId="3901F55B" w14:textId="77777777" w:rsidR="007575F2" w:rsidRDefault="007575F2" w:rsidP="00E00F34">
            <w:pPr>
              <w:jc w:val="center"/>
              <w:rPr>
                <w:rFonts w:ascii="Arial Narrow" w:hAnsi="Arial Narrow" w:cs="Arial"/>
                <w:lang w:val="es-CO"/>
              </w:rPr>
            </w:pPr>
            <w:r>
              <w:rPr>
                <w:rFonts w:ascii="Arial Narrow" w:hAnsi="Arial Narrow" w:cs="Arial"/>
                <w:lang w:val="es-CO"/>
              </w:rPr>
              <w:t>1</w:t>
            </w:r>
          </w:p>
        </w:tc>
        <w:tc>
          <w:tcPr>
            <w:tcW w:w="5328" w:type="dxa"/>
            <w:vAlign w:val="center"/>
          </w:tcPr>
          <w:p w14:paraId="1B2E71FD" w14:textId="5D9F806C" w:rsidR="007575F2" w:rsidRPr="00511ED7" w:rsidRDefault="007575F2" w:rsidP="00302942">
            <w:pPr>
              <w:pStyle w:val="Default"/>
              <w:rPr>
                <w:rFonts w:ascii="Arial Narrow" w:hAnsi="Arial Narrow"/>
                <w:color w:val="auto"/>
              </w:rPr>
            </w:pPr>
            <w:r w:rsidRPr="00511ED7">
              <w:rPr>
                <w:rFonts w:ascii="Arial Narrow" w:hAnsi="Arial Narrow"/>
                <w:color w:val="auto"/>
              </w:rPr>
              <w:t xml:space="preserve">En el caso de las cajas tipo III, se hizo la propuesta de reducir el porcentaje destinado a prestaciones económicas para darle más fortaleza a la operación del componente de Emprendimiento </w:t>
            </w:r>
          </w:p>
        </w:tc>
        <w:tc>
          <w:tcPr>
            <w:tcW w:w="7189" w:type="dxa"/>
          </w:tcPr>
          <w:p w14:paraId="3F1F9BC6" w14:textId="15B05B25" w:rsidR="00BD3F87" w:rsidRDefault="00153248" w:rsidP="00E00F34">
            <w:pPr>
              <w:jc w:val="both"/>
              <w:rPr>
                <w:rFonts w:ascii="Arial Narrow" w:hAnsi="Arial Narrow" w:cs="Arial"/>
                <w:lang w:val="es-CO"/>
              </w:rPr>
            </w:pPr>
            <w:r>
              <w:rPr>
                <w:rFonts w:ascii="Arial Narrow" w:hAnsi="Arial Narrow" w:cs="Arial"/>
                <w:lang w:val="es-CO"/>
              </w:rPr>
              <w:t xml:space="preserve">Cajas tipo III. </w:t>
            </w:r>
            <w:r w:rsidR="00BD3F87">
              <w:rPr>
                <w:rFonts w:ascii="Arial Narrow" w:hAnsi="Arial Narrow" w:cs="Arial"/>
                <w:lang w:val="es-CO"/>
              </w:rPr>
              <w:t xml:space="preserve"> EFECTIVAMENT ELAS Cajas tipo III se le amplió los rangos para emprendimiento y se </w:t>
            </w:r>
            <w:r w:rsidR="00511ED7">
              <w:rPr>
                <w:rFonts w:ascii="Arial Narrow" w:hAnsi="Arial Narrow" w:cs="Arial"/>
                <w:lang w:val="es-CO"/>
              </w:rPr>
              <w:t xml:space="preserve">redujo el rango inferior del porcentaje de las </w:t>
            </w:r>
            <w:r w:rsidR="00BD3F87">
              <w:rPr>
                <w:rFonts w:ascii="Arial Narrow" w:hAnsi="Arial Narrow" w:cs="Arial"/>
                <w:lang w:val="es-CO"/>
              </w:rPr>
              <w:t xml:space="preserve">prestaciones económicas </w:t>
            </w:r>
            <w:r w:rsidR="00511ED7">
              <w:rPr>
                <w:rFonts w:ascii="Arial Narrow" w:hAnsi="Arial Narrow" w:cs="Arial"/>
                <w:lang w:val="es-CO"/>
              </w:rPr>
              <w:t xml:space="preserve">pasando de 45% a 40%, quedando </w:t>
            </w:r>
            <w:r w:rsidR="00BD3F87">
              <w:rPr>
                <w:rFonts w:ascii="Arial Narrow" w:hAnsi="Arial Narrow" w:cs="Arial"/>
                <w:lang w:val="es-CO"/>
              </w:rPr>
              <w:t>así:</w:t>
            </w:r>
          </w:p>
          <w:p w14:paraId="5ECF1AD0" w14:textId="77777777" w:rsidR="007575F2" w:rsidRDefault="00153248" w:rsidP="00E00F34">
            <w:pPr>
              <w:jc w:val="both"/>
              <w:rPr>
                <w:rFonts w:ascii="Arial Narrow" w:hAnsi="Arial Narrow" w:cs="Arial"/>
                <w:lang w:val="es-CO"/>
              </w:rPr>
            </w:pPr>
            <w:r>
              <w:rPr>
                <w:rFonts w:ascii="Arial Narrow" w:hAnsi="Arial Narrow" w:cs="Arial"/>
                <w:lang w:val="es-CO"/>
              </w:rPr>
              <w:t>Prestaciones económicas – Rango 40% y 55%</w:t>
            </w:r>
          </w:p>
          <w:p w14:paraId="5FD7A6CA" w14:textId="401646BC" w:rsidR="00153248" w:rsidRDefault="00153248" w:rsidP="00E00F34">
            <w:pPr>
              <w:jc w:val="both"/>
              <w:rPr>
                <w:rFonts w:ascii="Arial Narrow" w:hAnsi="Arial Narrow" w:cs="Arial"/>
                <w:lang w:val="es-CO"/>
              </w:rPr>
            </w:pPr>
            <w:r>
              <w:rPr>
                <w:rFonts w:ascii="Arial Narrow" w:hAnsi="Arial Narrow" w:cs="Arial"/>
                <w:lang w:val="es-CO"/>
              </w:rPr>
              <w:t>Emprendimiento – Rango 5% y 15%</w:t>
            </w:r>
          </w:p>
        </w:tc>
      </w:tr>
      <w:tr w:rsidR="007575F2" w14:paraId="1B2A64B4" w14:textId="77777777" w:rsidTr="00302942">
        <w:tc>
          <w:tcPr>
            <w:tcW w:w="479" w:type="dxa"/>
            <w:vAlign w:val="center"/>
          </w:tcPr>
          <w:p w14:paraId="309D90DB" w14:textId="77777777" w:rsidR="007575F2" w:rsidRDefault="007575F2" w:rsidP="00E00F34">
            <w:pPr>
              <w:jc w:val="center"/>
              <w:rPr>
                <w:rFonts w:ascii="Arial Narrow" w:hAnsi="Arial Narrow" w:cs="Arial"/>
                <w:lang w:val="es-CO"/>
              </w:rPr>
            </w:pPr>
            <w:r>
              <w:rPr>
                <w:rFonts w:ascii="Arial Narrow" w:hAnsi="Arial Narrow" w:cs="Arial"/>
                <w:lang w:val="es-CO"/>
              </w:rPr>
              <w:t>2</w:t>
            </w:r>
          </w:p>
        </w:tc>
        <w:tc>
          <w:tcPr>
            <w:tcW w:w="5328" w:type="dxa"/>
            <w:vAlign w:val="center"/>
          </w:tcPr>
          <w:p w14:paraId="27CADDE1" w14:textId="7532EBB9" w:rsidR="007575F2" w:rsidRDefault="007575F2" w:rsidP="00302942">
            <w:pPr>
              <w:rPr>
                <w:rFonts w:ascii="Arial Narrow" w:hAnsi="Arial Narrow" w:cs="Arial"/>
                <w:lang w:val="es-CO"/>
              </w:rPr>
            </w:pPr>
            <w:r w:rsidRPr="007575F2">
              <w:rPr>
                <w:rFonts w:ascii="Arial Narrow" w:hAnsi="Arial Narrow" w:cs="Arial"/>
                <w:lang w:val="es-CO"/>
              </w:rPr>
              <w:t>La promoción al emprendimiento al otorgarle el 15% en el primer año para cajas tipo III, son muchos recursos. Si se planea llegar a esta meta el avance debería ser progresivo. Para que el emprendimiento alcance la madurez que ya tienen otros proyectos. De tal modo se manifiesta que el porcentaje apropiado para esta parte del proyecto debería estar entre 0% y 5%.</w:t>
            </w:r>
          </w:p>
        </w:tc>
        <w:tc>
          <w:tcPr>
            <w:tcW w:w="7189" w:type="dxa"/>
          </w:tcPr>
          <w:p w14:paraId="5E1097EB" w14:textId="053AF2E9" w:rsidR="007575F2" w:rsidRDefault="00DC565D" w:rsidP="00E00F34">
            <w:pPr>
              <w:jc w:val="both"/>
              <w:rPr>
                <w:rFonts w:ascii="Arial Narrow" w:hAnsi="Arial Narrow" w:cs="Arial"/>
                <w:lang w:val="es-CO"/>
              </w:rPr>
            </w:pPr>
            <w:r>
              <w:rPr>
                <w:rFonts w:ascii="Arial Narrow" w:hAnsi="Arial Narrow" w:cs="Arial"/>
                <w:lang w:val="es-CO"/>
              </w:rPr>
              <w:t xml:space="preserve">Estas Cajas son las que cuenta con mayor </w:t>
            </w:r>
            <w:r w:rsidR="00511ED7">
              <w:rPr>
                <w:rFonts w:ascii="Arial Narrow" w:hAnsi="Arial Narrow" w:cs="Arial"/>
                <w:lang w:val="es-CO"/>
              </w:rPr>
              <w:t>capacidad</w:t>
            </w:r>
            <w:r>
              <w:rPr>
                <w:rFonts w:ascii="Arial Narrow" w:hAnsi="Arial Narrow" w:cs="Arial"/>
                <w:lang w:val="es-CO"/>
              </w:rPr>
              <w:t xml:space="preserve"> para poder llevar a cabo la implementación de componente de </w:t>
            </w:r>
            <w:r w:rsidR="00511ED7">
              <w:rPr>
                <w:rFonts w:ascii="Arial Narrow" w:hAnsi="Arial Narrow" w:cs="Arial"/>
                <w:lang w:val="es-CO"/>
              </w:rPr>
              <w:t>Promoción del E</w:t>
            </w:r>
            <w:r>
              <w:rPr>
                <w:rFonts w:ascii="Arial Narrow" w:hAnsi="Arial Narrow" w:cs="Arial"/>
                <w:lang w:val="es-CO"/>
              </w:rPr>
              <w:t>mprendimiento</w:t>
            </w:r>
            <w:r w:rsidR="00511ED7">
              <w:rPr>
                <w:rFonts w:ascii="Arial Narrow" w:hAnsi="Arial Narrow" w:cs="Arial"/>
                <w:lang w:val="es-CO"/>
              </w:rPr>
              <w:t xml:space="preserve"> y Desarrollo Empresarial.</w:t>
            </w:r>
          </w:p>
          <w:p w14:paraId="4689450A" w14:textId="19D82563" w:rsidR="000A6EE9" w:rsidRDefault="000A6EE9" w:rsidP="00E00F34">
            <w:pPr>
              <w:jc w:val="both"/>
              <w:rPr>
                <w:rFonts w:ascii="Arial Narrow" w:hAnsi="Arial Narrow" w:cs="Arial"/>
                <w:lang w:val="es-CO"/>
              </w:rPr>
            </w:pPr>
            <w:r w:rsidRPr="000A6EE9">
              <w:rPr>
                <w:rFonts w:ascii="Arial Narrow" w:hAnsi="Arial Narrow" w:cs="Arial"/>
                <w:lang w:val="es-CO"/>
              </w:rPr>
              <w:t>No es vi</w:t>
            </w:r>
            <w:r w:rsidR="00511ED7">
              <w:rPr>
                <w:rFonts w:ascii="Arial Narrow" w:hAnsi="Arial Narrow" w:cs="Arial"/>
                <w:lang w:val="es-CO"/>
              </w:rPr>
              <w:t xml:space="preserve">able la solicitud toda vez que dado el impacto de la Ley 1929 de 2018 hace que los recursos para el </w:t>
            </w:r>
            <w:proofErr w:type="spellStart"/>
            <w:r w:rsidR="00511ED7">
              <w:rPr>
                <w:rFonts w:ascii="Arial Narrow" w:hAnsi="Arial Narrow" w:cs="Arial"/>
                <w:lang w:val="es-CO"/>
              </w:rPr>
              <w:t>Fosfec</w:t>
            </w:r>
            <w:proofErr w:type="spellEnd"/>
            <w:r w:rsidR="00511ED7">
              <w:rPr>
                <w:rFonts w:ascii="Arial Narrow" w:hAnsi="Arial Narrow" w:cs="Arial"/>
                <w:lang w:val="es-CO"/>
              </w:rPr>
              <w:t xml:space="preserve"> sean inferiores </w:t>
            </w:r>
            <w:proofErr w:type="gramStart"/>
            <w:r w:rsidR="00511ED7">
              <w:rPr>
                <w:rFonts w:ascii="Arial Narrow" w:hAnsi="Arial Narrow" w:cs="Arial"/>
                <w:lang w:val="es-CO"/>
              </w:rPr>
              <w:t>en relación a</w:t>
            </w:r>
            <w:proofErr w:type="gramEnd"/>
            <w:r w:rsidR="00511ED7">
              <w:rPr>
                <w:rFonts w:ascii="Arial Narrow" w:hAnsi="Arial Narrow" w:cs="Arial"/>
                <w:lang w:val="es-CO"/>
              </w:rPr>
              <w:t xml:space="preserve"> los recursos que se contaban en vigencias anteriores por lo que será necesario que las Cajas puedan moverse en rangos más amplios.</w:t>
            </w:r>
          </w:p>
        </w:tc>
      </w:tr>
      <w:tr w:rsidR="007575F2" w14:paraId="440B2312" w14:textId="77777777" w:rsidTr="00302942">
        <w:trPr>
          <w:trHeight w:val="733"/>
        </w:trPr>
        <w:tc>
          <w:tcPr>
            <w:tcW w:w="479" w:type="dxa"/>
            <w:vAlign w:val="center"/>
          </w:tcPr>
          <w:p w14:paraId="44661F96" w14:textId="77777777" w:rsidR="007575F2" w:rsidRDefault="007575F2" w:rsidP="00E00F34">
            <w:pPr>
              <w:jc w:val="center"/>
              <w:rPr>
                <w:rFonts w:ascii="Arial Narrow" w:hAnsi="Arial Narrow" w:cs="Arial"/>
                <w:lang w:val="es-CO"/>
              </w:rPr>
            </w:pPr>
            <w:r>
              <w:rPr>
                <w:rFonts w:ascii="Arial Narrow" w:hAnsi="Arial Narrow" w:cs="Arial"/>
                <w:lang w:val="es-CO"/>
              </w:rPr>
              <w:t>3</w:t>
            </w:r>
          </w:p>
        </w:tc>
        <w:tc>
          <w:tcPr>
            <w:tcW w:w="5328" w:type="dxa"/>
            <w:vAlign w:val="center"/>
          </w:tcPr>
          <w:p w14:paraId="1CD6A14D" w14:textId="31A60E6C" w:rsidR="007575F2" w:rsidRPr="00511ED7" w:rsidRDefault="000879AE" w:rsidP="00302942">
            <w:pPr>
              <w:rPr>
                <w:rFonts w:ascii="Arial Narrow" w:hAnsi="Arial Narrow" w:cs="Arial"/>
                <w:lang w:val="es-CO"/>
              </w:rPr>
            </w:pPr>
            <w:r w:rsidRPr="00511ED7">
              <w:rPr>
                <w:rFonts w:ascii="Arial Narrow" w:hAnsi="Arial Narrow" w:cs="Arial"/>
                <w:lang w:val="es-CO"/>
              </w:rPr>
              <w:t>Las CCF tienen listas de espera de beneficiarios de las prestaciones económicas</w:t>
            </w:r>
          </w:p>
        </w:tc>
        <w:tc>
          <w:tcPr>
            <w:tcW w:w="7189" w:type="dxa"/>
          </w:tcPr>
          <w:p w14:paraId="70F6B859" w14:textId="4DE91F4E" w:rsidR="007575F2" w:rsidRPr="00511ED7" w:rsidRDefault="00511ED7" w:rsidP="00E00F34">
            <w:pPr>
              <w:jc w:val="both"/>
              <w:rPr>
                <w:rFonts w:ascii="Arial Narrow" w:hAnsi="Arial Narrow" w:cs="Arial"/>
                <w:lang w:val="es-CO"/>
              </w:rPr>
            </w:pPr>
            <w:r>
              <w:rPr>
                <w:rFonts w:ascii="Arial Narrow" w:hAnsi="Arial Narrow" w:cs="Arial"/>
                <w:lang w:val="es-CO"/>
              </w:rPr>
              <w:t xml:space="preserve">El Ministerio del Trabajo en función del comportamiento de la ejecución de las Subcuentas establecerá lineamientos para el direccionamiento de recursos que apalanquen las necesidades </w:t>
            </w:r>
            <w:r w:rsidR="00962412">
              <w:rPr>
                <w:rFonts w:ascii="Arial Narrow" w:hAnsi="Arial Narrow" w:cs="Arial"/>
                <w:lang w:val="es-CO"/>
              </w:rPr>
              <w:t>por medio de la compensación entre</w:t>
            </w:r>
            <w:r>
              <w:rPr>
                <w:rFonts w:ascii="Arial Narrow" w:hAnsi="Arial Narrow" w:cs="Arial"/>
                <w:lang w:val="es-CO"/>
              </w:rPr>
              <w:t xml:space="preserve"> subcuentas</w:t>
            </w:r>
            <w:r w:rsidR="00EA7D7F" w:rsidRPr="00511ED7">
              <w:rPr>
                <w:rFonts w:ascii="Arial Narrow" w:hAnsi="Arial Narrow" w:cs="Arial"/>
                <w:lang w:val="es-CO"/>
              </w:rPr>
              <w:t xml:space="preserve"> </w:t>
            </w:r>
          </w:p>
        </w:tc>
      </w:tr>
      <w:tr w:rsidR="007575F2" w14:paraId="675D764C" w14:textId="77777777" w:rsidTr="00302942">
        <w:tc>
          <w:tcPr>
            <w:tcW w:w="479" w:type="dxa"/>
            <w:vAlign w:val="center"/>
          </w:tcPr>
          <w:p w14:paraId="4E0CBE37" w14:textId="76641A5D" w:rsidR="007575F2" w:rsidRDefault="000879AE" w:rsidP="00E00F34">
            <w:pPr>
              <w:jc w:val="center"/>
              <w:rPr>
                <w:rFonts w:ascii="Arial Narrow" w:hAnsi="Arial Narrow" w:cs="Arial"/>
                <w:lang w:val="es-CO"/>
              </w:rPr>
            </w:pPr>
            <w:r>
              <w:rPr>
                <w:rFonts w:ascii="Arial Narrow" w:hAnsi="Arial Narrow" w:cs="Arial"/>
                <w:lang w:val="es-CO"/>
              </w:rPr>
              <w:t>4</w:t>
            </w:r>
          </w:p>
        </w:tc>
        <w:tc>
          <w:tcPr>
            <w:tcW w:w="5328" w:type="dxa"/>
            <w:vAlign w:val="center"/>
          </w:tcPr>
          <w:p w14:paraId="59EA18A6" w14:textId="7D8A93FA" w:rsidR="007575F2" w:rsidRPr="00511ED7" w:rsidRDefault="000879AE" w:rsidP="00302942">
            <w:pPr>
              <w:rPr>
                <w:rFonts w:ascii="Arial Narrow" w:hAnsi="Arial Narrow" w:cs="Arial"/>
                <w:lang w:val="es-CO"/>
              </w:rPr>
            </w:pPr>
            <w:r w:rsidRPr="00511ED7">
              <w:rPr>
                <w:rFonts w:ascii="Arial Narrow" w:hAnsi="Arial Narrow" w:cs="Arial"/>
                <w:lang w:val="es-CO"/>
              </w:rPr>
              <w:t>No están quedando los fondos suficientes para capacitación en emprendimiento, lo que no está garantizando el acceso. Se solicita revisar costeo.</w:t>
            </w:r>
          </w:p>
        </w:tc>
        <w:tc>
          <w:tcPr>
            <w:tcW w:w="7189" w:type="dxa"/>
            <w:vAlign w:val="center"/>
          </w:tcPr>
          <w:p w14:paraId="04C07BE3" w14:textId="2A2F3CC5" w:rsidR="007575F2" w:rsidRDefault="009C40E7" w:rsidP="00962412">
            <w:pPr>
              <w:rPr>
                <w:rFonts w:ascii="Arial Narrow" w:hAnsi="Arial Narrow" w:cs="Arial"/>
                <w:lang w:val="es-CO"/>
              </w:rPr>
            </w:pPr>
            <w:r>
              <w:rPr>
                <w:rFonts w:ascii="Arial Narrow" w:hAnsi="Arial Narrow" w:cs="Arial"/>
                <w:lang w:val="es-CO"/>
              </w:rPr>
              <w:t>Se contempl</w:t>
            </w:r>
            <w:r w:rsidR="00962412">
              <w:rPr>
                <w:rFonts w:ascii="Arial Narrow" w:hAnsi="Arial Narrow" w:cs="Arial"/>
                <w:lang w:val="es-CO"/>
              </w:rPr>
              <w:t>ó</w:t>
            </w:r>
            <w:r>
              <w:rPr>
                <w:rFonts w:ascii="Arial Narrow" w:hAnsi="Arial Narrow" w:cs="Arial"/>
                <w:lang w:val="es-CO"/>
              </w:rPr>
              <w:t xml:space="preserve"> las necesidades de capacitación para el emprendimiento </w:t>
            </w:r>
            <w:r w:rsidR="00962412">
              <w:rPr>
                <w:rFonts w:ascii="Arial Narrow" w:hAnsi="Arial Narrow" w:cs="Arial"/>
                <w:lang w:val="es-CO"/>
              </w:rPr>
              <w:t>teniendo en cuenta que es un componente que entrará en operación, así las cosas y en función del promedio de ejecución de esta subcuenta</w:t>
            </w:r>
            <w:r>
              <w:rPr>
                <w:rFonts w:ascii="Arial Narrow" w:hAnsi="Arial Narrow" w:cs="Arial"/>
                <w:lang w:val="es-CO"/>
              </w:rPr>
              <w:t xml:space="preserve"> se establecieron los porcentajes descritos en la Resolución</w:t>
            </w:r>
          </w:p>
        </w:tc>
      </w:tr>
      <w:tr w:rsidR="007575F2" w14:paraId="556CC718" w14:textId="77777777" w:rsidTr="00302942">
        <w:tc>
          <w:tcPr>
            <w:tcW w:w="479" w:type="dxa"/>
            <w:vAlign w:val="center"/>
          </w:tcPr>
          <w:p w14:paraId="079042B7" w14:textId="79544703" w:rsidR="007575F2" w:rsidRDefault="000879AE" w:rsidP="00E00F34">
            <w:pPr>
              <w:jc w:val="center"/>
              <w:rPr>
                <w:rFonts w:ascii="Arial Narrow" w:hAnsi="Arial Narrow" w:cs="Arial"/>
                <w:lang w:val="es-CO"/>
              </w:rPr>
            </w:pPr>
            <w:r>
              <w:rPr>
                <w:rFonts w:ascii="Arial Narrow" w:hAnsi="Arial Narrow" w:cs="Arial"/>
                <w:lang w:val="es-CO"/>
              </w:rPr>
              <w:t>5</w:t>
            </w:r>
          </w:p>
        </w:tc>
        <w:tc>
          <w:tcPr>
            <w:tcW w:w="5328" w:type="dxa"/>
            <w:vAlign w:val="center"/>
          </w:tcPr>
          <w:p w14:paraId="445C18AF" w14:textId="3EBD11E3" w:rsidR="007575F2" w:rsidRPr="00511ED7" w:rsidRDefault="000879AE" w:rsidP="00302942">
            <w:pPr>
              <w:rPr>
                <w:rFonts w:ascii="Arial Narrow" w:hAnsi="Arial Narrow" w:cs="Arial"/>
                <w:lang w:val="es-CO"/>
              </w:rPr>
            </w:pPr>
            <w:r w:rsidRPr="00511ED7">
              <w:rPr>
                <w:rFonts w:ascii="Arial Narrow" w:hAnsi="Arial Narrow" w:cs="Arial"/>
                <w:lang w:val="es-CO"/>
              </w:rPr>
              <w:t xml:space="preserve">Revisar propuesta de los rangos de apropiación de los recursos de las subcuentas del FOSFEC para gastos operativos, teniendo en cuenta los casos específicos expuestos por las Cajas de Compensación Familiar. Las CCF proponen ampliar los rangos de las subcuentas con </w:t>
            </w:r>
            <w:r w:rsidRPr="00511ED7">
              <w:rPr>
                <w:rFonts w:ascii="Arial Narrow" w:hAnsi="Arial Narrow" w:cs="Arial"/>
                <w:lang w:val="es-CO"/>
              </w:rPr>
              <w:lastRenderedPageBreak/>
              <w:t>el fin de que tengan la libertad de escoger los porcentajes que más se ajusten a su realidad, ya que actualmente se tienen listas de espera.</w:t>
            </w:r>
          </w:p>
        </w:tc>
        <w:tc>
          <w:tcPr>
            <w:tcW w:w="7189" w:type="dxa"/>
            <w:vAlign w:val="center"/>
          </w:tcPr>
          <w:p w14:paraId="1C2BBFE0" w14:textId="25D477A9" w:rsidR="007575F2" w:rsidRDefault="000A6EE9" w:rsidP="00962412">
            <w:pPr>
              <w:jc w:val="both"/>
              <w:rPr>
                <w:rFonts w:ascii="Arial Narrow" w:hAnsi="Arial Narrow" w:cs="Arial"/>
                <w:lang w:val="es-CO"/>
              </w:rPr>
            </w:pPr>
            <w:r>
              <w:rPr>
                <w:rFonts w:ascii="Arial Narrow" w:hAnsi="Arial Narrow" w:cs="Arial"/>
                <w:lang w:val="es-CO"/>
              </w:rPr>
              <w:lastRenderedPageBreak/>
              <w:t>No es viable la solicitud toda vez que la primera versión de los porcentajes de apropiación de cada componente, la cual fue publicad</w:t>
            </w:r>
            <w:r w:rsidR="000872E9">
              <w:rPr>
                <w:rFonts w:ascii="Arial Narrow" w:hAnsi="Arial Narrow" w:cs="Arial"/>
                <w:lang w:val="es-CO"/>
              </w:rPr>
              <w:t xml:space="preserve">a </w:t>
            </w:r>
            <w:r>
              <w:rPr>
                <w:rFonts w:ascii="Arial Narrow" w:hAnsi="Arial Narrow" w:cs="Arial"/>
                <w:lang w:val="es-CO"/>
              </w:rPr>
              <w:t xml:space="preserve">para comentarios en el mes de julio de 2018, contaba con un rango en su mayoría de 5 puntos porcentuales, en esta </w:t>
            </w:r>
            <w:r w:rsidR="000872E9">
              <w:rPr>
                <w:rFonts w:ascii="Arial Narrow" w:hAnsi="Arial Narrow" w:cs="Arial"/>
                <w:lang w:val="es-CO"/>
              </w:rPr>
              <w:t xml:space="preserve">versión definitiva se duplicó </w:t>
            </w:r>
            <w:r>
              <w:rPr>
                <w:rFonts w:ascii="Arial Narrow" w:hAnsi="Arial Narrow" w:cs="Arial"/>
                <w:lang w:val="es-CO"/>
              </w:rPr>
              <w:t>a 10 puntos porcentuales</w:t>
            </w:r>
            <w:r w:rsidR="000872E9">
              <w:rPr>
                <w:rFonts w:ascii="Arial Narrow" w:hAnsi="Arial Narrow" w:cs="Arial"/>
                <w:lang w:val="es-CO"/>
              </w:rPr>
              <w:t xml:space="preserve"> para la mayoría de las Subcuentas.</w:t>
            </w:r>
          </w:p>
        </w:tc>
      </w:tr>
      <w:tr w:rsidR="007575F2" w14:paraId="39D0DE8C" w14:textId="77777777" w:rsidTr="00302942">
        <w:tc>
          <w:tcPr>
            <w:tcW w:w="479" w:type="dxa"/>
            <w:vAlign w:val="center"/>
          </w:tcPr>
          <w:p w14:paraId="491ED1F0" w14:textId="52F80C9F" w:rsidR="000879AE" w:rsidRDefault="000879AE" w:rsidP="000879AE">
            <w:pPr>
              <w:jc w:val="center"/>
              <w:rPr>
                <w:rFonts w:ascii="Arial Narrow" w:hAnsi="Arial Narrow" w:cs="Arial"/>
                <w:lang w:val="es-CO"/>
              </w:rPr>
            </w:pPr>
            <w:r>
              <w:rPr>
                <w:rFonts w:ascii="Arial Narrow" w:hAnsi="Arial Narrow" w:cs="Arial"/>
                <w:lang w:val="es-CO"/>
              </w:rPr>
              <w:t>6</w:t>
            </w:r>
          </w:p>
        </w:tc>
        <w:tc>
          <w:tcPr>
            <w:tcW w:w="5328" w:type="dxa"/>
            <w:vAlign w:val="center"/>
          </w:tcPr>
          <w:p w14:paraId="3E68C572" w14:textId="5023D803" w:rsidR="007575F2" w:rsidRPr="00511ED7" w:rsidRDefault="00EC359F" w:rsidP="00302942">
            <w:pPr>
              <w:rPr>
                <w:rFonts w:ascii="Arial Narrow" w:hAnsi="Arial Narrow" w:cs="Arial"/>
                <w:lang w:val="es-CO"/>
              </w:rPr>
            </w:pPr>
            <w:r w:rsidRPr="00511ED7">
              <w:rPr>
                <w:rFonts w:ascii="Arial Narrow" w:hAnsi="Arial Narrow" w:cs="Arial"/>
                <w:lang w:val="es-CO"/>
              </w:rPr>
              <w:t>Revisar las implicaciones y el soporte técnico de los ajustes a los rangos en los porcentajes de distribución</w:t>
            </w:r>
          </w:p>
        </w:tc>
        <w:tc>
          <w:tcPr>
            <w:tcW w:w="7189" w:type="dxa"/>
          </w:tcPr>
          <w:p w14:paraId="546B7769" w14:textId="784E6DA2" w:rsidR="007575F2" w:rsidRDefault="000872E9" w:rsidP="00E00F34">
            <w:pPr>
              <w:jc w:val="both"/>
              <w:rPr>
                <w:rFonts w:ascii="Arial Narrow" w:hAnsi="Arial Narrow" w:cs="Arial"/>
                <w:lang w:val="es-CO"/>
              </w:rPr>
            </w:pPr>
            <w:r>
              <w:rPr>
                <w:rFonts w:ascii="Arial Narrow" w:hAnsi="Arial Narrow" w:cs="Arial"/>
                <w:lang w:val="es-CO"/>
              </w:rPr>
              <w:t xml:space="preserve">Para la emisión de la presente resolución se tuvieron en cuenta </w:t>
            </w:r>
            <w:r w:rsidRPr="00AF5DD1">
              <w:rPr>
                <w:rFonts w:ascii="Arial Narrow" w:hAnsi="Arial Narrow" w:cs="Arial"/>
                <w:lang w:val="es-CO"/>
              </w:rPr>
              <w:t>la dinámica del mercado laboral</w:t>
            </w:r>
            <w:r>
              <w:rPr>
                <w:rFonts w:ascii="Arial Narrow" w:hAnsi="Arial Narrow" w:cs="Arial"/>
                <w:lang w:val="es-CO"/>
              </w:rPr>
              <w:t>,</w:t>
            </w:r>
            <w:r w:rsidRPr="00511ED7">
              <w:rPr>
                <w:rFonts w:ascii="Arial Narrow" w:hAnsi="Arial Narrow" w:cs="Arial"/>
                <w:lang w:val="es-CO"/>
              </w:rPr>
              <w:t xml:space="preserve"> el</w:t>
            </w:r>
            <w:r w:rsidRPr="00AF5DD1">
              <w:rPr>
                <w:rFonts w:ascii="Arial Narrow" w:hAnsi="Arial Narrow" w:cs="Arial"/>
                <w:lang w:val="es-CO"/>
              </w:rPr>
              <w:t xml:space="preserve"> documento técnico sobre la distribución de recursos del FOSFEC - 2018 </w:t>
            </w:r>
            <w:r>
              <w:rPr>
                <w:rFonts w:ascii="Arial Narrow" w:hAnsi="Arial Narrow" w:cs="Arial"/>
                <w:lang w:val="es-CO"/>
              </w:rPr>
              <w:t xml:space="preserve">  </w:t>
            </w:r>
            <w:r>
              <w:rPr>
                <w:rFonts w:ascii="Arial Narrow" w:hAnsi="Arial Narrow" w:cs="Arial"/>
                <w:lang w:val="es-CO"/>
              </w:rPr>
              <w:t>de la Unidad Administrativa Especial del Servicio Público de Empleo,</w:t>
            </w:r>
            <w:r>
              <w:rPr>
                <w:rFonts w:ascii="Arial Narrow" w:hAnsi="Arial Narrow" w:cs="Arial"/>
                <w:lang w:val="es-CO"/>
              </w:rPr>
              <w:t xml:space="preserve"> el informe de las </w:t>
            </w:r>
            <w:r w:rsidRPr="00AF5DD1">
              <w:rPr>
                <w:rFonts w:ascii="Arial Narrow" w:hAnsi="Arial Narrow" w:cs="Arial"/>
                <w:lang w:val="es-CO"/>
              </w:rPr>
              <w:t>fuentes de los recursos del</w:t>
            </w:r>
            <w:r>
              <w:rPr>
                <w:rFonts w:ascii="Arial Narrow" w:hAnsi="Arial Narrow" w:cs="Arial"/>
                <w:lang w:val="es-CO"/>
              </w:rPr>
              <w:t xml:space="preserve"> </w:t>
            </w:r>
            <w:r w:rsidRPr="00AF5DD1">
              <w:rPr>
                <w:rFonts w:ascii="Arial Narrow" w:hAnsi="Arial Narrow" w:cs="Arial"/>
                <w:lang w:val="es-CO"/>
              </w:rPr>
              <w:t>– FOSFEC</w:t>
            </w:r>
            <w:r>
              <w:rPr>
                <w:rFonts w:ascii="Arial Narrow" w:hAnsi="Arial Narrow" w:cs="Arial"/>
                <w:lang w:val="es-CO"/>
              </w:rPr>
              <w:t xml:space="preserve"> que remitió la S</w:t>
            </w:r>
            <w:r>
              <w:rPr>
                <w:rFonts w:ascii="Arial Narrow" w:hAnsi="Arial Narrow" w:cs="Arial"/>
                <w:lang w:val="es-CO"/>
              </w:rPr>
              <w:t xml:space="preserve">uperintendencia de </w:t>
            </w:r>
            <w:r>
              <w:rPr>
                <w:rFonts w:ascii="Arial Narrow" w:hAnsi="Arial Narrow" w:cs="Arial"/>
                <w:lang w:val="es-CO"/>
              </w:rPr>
              <w:t>S</w:t>
            </w:r>
            <w:r>
              <w:rPr>
                <w:rFonts w:ascii="Arial Narrow" w:hAnsi="Arial Narrow" w:cs="Arial"/>
                <w:lang w:val="es-CO"/>
              </w:rPr>
              <w:t xml:space="preserve">ubsidio </w:t>
            </w:r>
            <w:r>
              <w:rPr>
                <w:rFonts w:ascii="Arial Narrow" w:hAnsi="Arial Narrow" w:cs="Arial"/>
                <w:lang w:val="es-CO"/>
              </w:rPr>
              <w:t>F</w:t>
            </w:r>
            <w:r>
              <w:rPr>
                <w:rFonts w:ascii="Arial Narrow" w:hAnsi="Arial Narrow" w:cs="Arial"/>
                <w:lang w:val="es-CO"/>
              </w:rPr>
              <w:t xml:space="preserve">amiliar, el documento técnico remitido por </w:t>
            </w:r>
            <w:proofErr w:type="spellStart"/>
            <w:r>
              <w:rPr>
                <w:rFonts w:ascii="Arial Narrow" w:hAnsi="Arial Narrow" w:cs="Arial"/>
                <w:lang w:val="es-CO"/>
              </w:rPr>
              <w:t>Asocajas</w:t>
            </w:r>
            <w:proofErr w:type="spellEnd"/>
            <w:r>
              <w:rPr>
                <w:rFonts w:ascii="Arial Narrow" w:hAnsi="Arial Narrow" w:cs="Arial"/>
                <w:lang w:val="es-CO"/>
              </w:rPr>
              <w:t xml:space="preserve"> y la estimación del impacto de la Ley 1929 de 2018</w:t>
            </w:r>
          </w:p>
        </w:tc>
      </w:tr>
      <w:tr w:rsidR="00EC359F" w14:paraId="3C815676" w14:textId="77777777" w:rsidTr="00302942">
        <w:tc>
          <w:tcPr>
            <w:tcW w:w="479" w:type="dxa"/>
            <w:vAlign w:val="center"/>
          </w:tcPr>
          <w:p w14:paraId="38DBB5C8" w14:textId="7EBEEE4F" w:rsidR="00EC359F" w:rsidRDefault="00EC359F" w:rsidP="000879AE">
            <w:pPr>
              <w:jc w:val="center"/>
              <w:rPr>
                <w:rFonts w:ascii="Arial Narrow" w:hAnsi="Arial Narrow" w:cs="Arial"/>
                <w:lang w:val="es-CO"/>
              </w:rPr>
            </w:pPr>
            <w:r>
              <w:rPr>
                <w:rFonts w:ascii="Arial Narrow" w:hAnsi="Arial Narrow" w:cs="Arial"/>
                <w:lang w:val="es-CO"/>
              </w:rPr>
              <w:t>7</w:t>
            </w:r>
          </w:p>
        </w:tc>
        <w:tc>
          <w:tcPr>
            <w:tcW w:w="5328" w:type="dxa"/>
            <w:vAlign w:val="center"/>
          </w:tcPr>
          <w:p w14:paraId="5FD98E19" w14:textId="1A79D4A9" w:rsidR="00EC359F" w:rsidRPr="00511ED7" w:rsidRDefault="00EC359F" w:rsidP="00302942">
            <w:pPr>
              <w:rPr>
                <w:rFonts w:ascii="Arial Narrow" w:hAnsi="Arial Narrow" w:cs="Arial"/>
                <w:lang w:val="es-CO"/>
              </w:rPr>
            </w:pPr>
            <w:r w:rsidRPr="00511ED7">
              <w:rPr>
                <w:rFonts w:ascii="Arial Narrow" w:hAnsi="Arial Narrow" w:cs="Arial"/>
                <w:lang w:val="es-CO"/>
              </w:rPr>
              <w:t>Cajas tipo I y II repensar porcentajes gastos de administración debido a la implementación de recobros genera costos elevados</w:t>
            </w:r>
          </w:p>
        </w:tc>
        <w:tc>
          <w:tcPr>
            <w:tcW w:w="7189" w:type="dxa"/>
          </w:tcPr>
          <w:p w14:paraId="7FE6A1B9" w14:textId="03749B47" w:rsidR="00115113" w:rsidRPr="00115113" w:rsidRDefault="00115113" w:rsidP="00115113">
            <w:pPr>
              <w:jc w:val="both"/>
              <w:rPr>
                <w:rFonts w:ascii="Arial Narrow" w:hAnsi="Arial Narrow" w:cs="Arial"/>
                <w:lang w:val="es-CO"/>
              </w:rPr>
            </w:pPr>
            <w:r>
              <w:rPr>
                <w:rFonts w:ascii="Arial Narrow" w:hAnsi="Arial Narrow" w:cs="Arial"/>
                <w:lang w:val="es-CO"/>
              </w:rPr>
              <w:t xml:space="preserve">Caja tipo </w:t>
            </w:r>
            <w:r w:rsidRPr="00115113">
              <w:rPr>
                <w:rFonts w:ascii="Arial Narrow" w:hAnsi="Arial Narrow" w:cs="Arial"/>
                <w:lang w:val="es-CO"/>
              </w:rPr>
              <w:t>I</w:t>
            </w:r>
            <w:r w:rsidRPr="00115113">
              <w:rPr>
                <w:rFonts w:ascii="Arial Narrow" w:hAnsi="Arial Narrow" w:cs="Arial"/>
                <w:lang w:val="es-CO"/>
              </w:rPr>
              <w:tab/>
              <w:t>4.5%</w:t>
            </w:r>
            <w:r>
              <w:rPr>
                <w:rFonts w:ascii="Arial Narrow" w:hAnsi="Arial Narrow" w:cs="Arial"/>
                <w:lang w:val="es-CO"/>
              </w:rPr>
              <w:t xml:space="preserve"> de gastos de administración</w:t>
            </w:r>
          </w:p>
          <w:p w14:paraId="4DD736B5" w14:textId="6D184C78" w:rsidR="00115113" w:rsidRPr="00115113" w:rsidRDefault="00115113" w:rsidP="00115113">
            <w:pPr>
              <w:jc w:val="both"/>
              <w:rPr>
                <w:rFonts w:ascii="Arial Narrow" w:hAnsi="Arial Narrow" w:cs="Arial"/>
                <w:lang w:val="es-CO"/>
              </w:rPr>
            </w:pPr>
            <w:r>
              <w:rPr>
                <w:rFonts w:ascii="Arial Narrow" w:hAnsi="Arial Narrow" w:cs="Arial"/>
                <w:lang w:val="es-CO"/>
              </w:rPr>
              <w:t xml:space="preserve">Caja tipo </w:t>
            </w:r>
            <w:r w:rsidRPr="00115113">
              <w:rPr>
                <w:rFonts w:ascii="Arial Narrow" w:hAnsi="Arial Narrow" w:cs="Arial"/>
                <w:lang w:val="es-CO"/>
              </w:rPr>
              <w:t>II</w:t>
            </w:r>
            <w:r w:rsidRPr="00115113">
              <w:rPr>
                <w:rFonts w:ascii="Arial Narrow" w:hAnsi="Arial Narrow" w:cs="Arial"/>
                <w:lang w:val="es-CO"/>
              </w:rPr>
              <w:tab/>
              <w:t>4.0%</w:t>
            </w:r>
            <w:r>
              <w:rPr>
                <w:rFonts w:ascii="Arial Narrow" w:hAnsi="Arial Narrow" w:cs="Arial"/>
                <w:lang w:val="es-CO"/>
              </w:rPr>
              <w:t xml:space="preserve"> de gastos de administración</w:t>
            </w:r>
          </w:p>
          <w:p w14:paraId="382D4A1F" w14:textId="47960464" w:rsidR="00EC359F" w:rsidRDefault="00115113" w:rsidP="00115113">
            <w:pPr>
              <w:jc w:val="both"/>
              <w:rPr>
                <w:rFonts w:ascii="Arial Narrow" w:hAnsi="Arial Narrow" w:cs="Arial"/>
                <w:lang w:val="es-CO"/>
              </w:rPr>
            </w:pPr>
            <w:r>
              <w:rPr>
                <w:rFonts w:ascii="Arial Narrow" w:hAnsi="Arial Narrow" w:cs="Arial"/>
                <w:lang w:val="es-CO"/>
              </w:rPr>
              <w:t xml:space="preserve">Caja tipo </w:t>
            </w:r>
            <w:r w:rsidRPr="00115113">
              <w:rPr>
                <w:rFonts w:ascii="Arial Narrow" w:hAnsi="Arial Narrow" w:cs="Arial"/>
                <w:lang w:val="es-CO"/>
              </w:rPr>
              <w:t>III</w:t>
            </w:r>
            <w:r w:rsidRPr="00115113">
              <w:rPr>
                <w:rFonts w:ascii="Arial Narrow" w:hAnsi="Arial Narrow" w:cs="Arial"/>
                <w:lang w:val="es-CO"/>
              </w:rPr>
              <w:tab/>
              <w:t>3.5%</w:t>
            </w:r>
            <w:r>
              <w:rPr>
                <w:rFonts w:ascii="Arial Narrow" w:hAnsi="Arial Narrow" w:cs="Arial"/>
                <w:lang w:val="es-CO"/>
              </w:rPr>
              <w:t xml:space="preserve"> de gastos de administración</w:t>
            </w:r>
          </w:p>
        </w:tc>
      </w:tr>
      <w:tr w:rsidR="00EC359F" w14:paraId="070E9488" w14:textId="77777777" w:rsidTr="00302942">
        <w:tc>
          <w:tcPr>
            <w:tcW w:w="479" w:type="dxa"/>
            <w:vAlign w:val="center"/>
          </w:tcPr>
          <w:p w14:paraId="48DEC67B" w14:textId="7DC93A2B" w:rsidR="00EC359F" w:rsidRDefault="00EC359F" w:rsidP="000879AE">
            <w:pPr>
              <w:jc w:val="center"/>
              <w:rPr>
                <w:rFonts w:ascii="Arial Narrow" w:hAnsi="Arial Narrow" w:cs="Arial"/>
                <w:lang w:val="es-CO"/>
              </w:rPr>
            </w:pPr>
            <w:r>
              <w:rPr>
                <w:rFonts w:ascii="Arial Narrow" w:hAnsi="Arial Narrow" w:cs="Arial"/>
                <w:lang w:val="es-CO"/>
              </w:rPr>
              <w:t>8</w:t>
            </w:r>
          </w:p>
        </w:tc>
        <w:tc>
          <w:tcPr>
            <w:tcW w:w="5328" w:type="dxa"/>
            <w:vAlign w:val="center"/>
          </w:tcPr>
          <w:p w14:paraId="25713FD1" w14:textId="2EE0CC74" w:rsidR="00EC359F" w:rsidRPr="00511ED7" w:rsidRDefault="00EC359F" w:rsidP="00302942">
            <w:pPr>
              <w:rPr>
                <w:rFonts w:ascii="Arial Narrow" w:hAnsi="Arial Narrow" w:cs="Arial"/>
                <w:lang w:val="es-CO"/>
              </w:rPr>
            </w:pPr>
            <w:r w:rsidRPr="00511ED7">
              <w:rPr>
                <w:rFonts w:ascii="Arial Narrow" w:hAnsi="Arial Narrow" w:cs="Arial"/>
                <w:lang w:val="es-CO"/>
              </w:rPr>
              <w:t>No se puede perder la perspectiva del propósito de integralidad del mecanismo. Mayor articulación y seguimiento de las prestaciones económicas con Gestión y Colocación de Empleo y Capacitación</w:t>
            </w:r>
          </w:p>
        </w:tc>
        <w:tc>
          <w:tcPr>
            <w:tcW w:w="7189" w:type="dxa"/>
          </w:tcPr>
          <w:p w14:paraId="04A9F452" w14:textId="1F899F10" w:rsidR="00EC359F" w:rsidRDefault="00302942" w:rsidP="00E00F34">
            <w:pPr>
              <w:jc w:val="both"/>
              <w:rPr>
                <w:rFonts w:ascii="Arial Narrow" w:hAnsi="Arial Narrow" w:cs="Arial"/>
                <w:lang w:val="es-CO"/>
              </w:rPr>
            </w:pPr>
            <w:r>
              <w:rPr>
                <w:rFonts w:ascii="Arial Narrow" w:hAnsi="Arial Narrow" w:cs="Arial"/>
                <w:lang w:val="es-CO"/>
              </w:rPr>
              <w:t>Para la articulación de los componentes del Mecanismo de protección al Cesante se implementarán instrumentos que soporte la gestión de las Cajas de Compensación Familiar con el fin de facilitar el seguimiento y correspondencia entre los servicios de gestión y colocación de empleo, de Capacitación para la Inserción laboral para el emprendimiento y el componente de prestaciones económicas.</w:t>
            </w:r>
          </w:p>
        </w:tc>
      </w:tr>
      <w:tr w:rsidR="00EC359F" w14:paraId="09D94E7D" w14:textId="77777777" w:rsidTr="00302942">
        <w:tc>
          <w:tcPr>
            <w:tcW w:w="479" w:type="dxa"/>
            <w:vAlign w:val="center"/>
          </w:tcPr>
          <w:p w14:paraId="5564D55C" w14:textId="2BC97A62" w:rsidR="00EC359F" w:rsidRDefault="00EC359F" w:rsidP="000879AE">
            <w:pPr>
              <w:jc w:val="center"/>
              <w:rPr>
                <w:rFonts w:ascii="Arial Narrow" w:hAnsi="Arial Narrow" w:cs="Arial"/>
                <w:lang w:val="es-CO"/>
              </w:rPr>
            </w:pPr>
            <w:r>
              <w:rPr>
                <w:rFonts w:ascii="Arial Narrow" w:hAnsi="Arial Narrow" w:cs="Arial"/>
                <w:lang w:val="es-CO"/>
              </w:rPr>
              <w:t>9</w:t>
            </w:r>
          </w:p>
        </w:tc>
        <w:tc>
          <w:tcPr>
            <w:tcW w:w="5328" w:type="dxa"/>
            <w:vAlign w:val="center"/>
          </w:tcPr>
          <w:p w14:paraId="185A0DDB" w14:textId="6C57A79A" w:rsidR="00EC359F" w:rsidRPr="00511ED7" w:rsidRDefault="00EC359F" w:rsidP="00302942">
            <w:pPr>
              <w:rPr>
                <w:rFonts w:ascii="Arial Narrow" w:hAnsi="Arial Narrow" w:cs="Arial"/>
                <w:lang w:val="es-CO"/>
              </w:rPr>
            </w:pPr>
            <w:r w:rsidRPr="00511ED7">
              <w:rPr>
                <w:rFonts w:ascii="Arial Narrow" w:hAnsi="Arial Narrow" w:cs="Arial"/>
                <w:lang w:val="es-CO"/>
              </w:rPr>
              <w:t>Considerar la propuesta de realizar un balance semestral con el fin de hacer una redistribución a los porcentajes de los saldos y tener la posibilidad de hacer traslados entre subcuentas para satisfacer la demanda de beneficiarios del mecanismo.</w:t>
            </w:r>
          </w:p>
        </w:tc>
        <w:tc>
          <w:tcPr>
            <w:tcW w:w="7189" w:type="dxa"/>
          </w:tcPr>
          <w:p w14:paraId="51D23F75" w14:textId="5E89F742" w:rsidR="00EC359F" w:rsidRDefault="00D234BB" w:rsidP="00E00F34">
            <w:pPr>
              <w:jc w:val="both"/>
              <w:rPr>
                <w:rFonts w:ascii="Arial Narrow" w:hAnsi="Arial Narrow" w:cs="Arial"/>
                <w:lang w:val="es-CO"/>
              </w:rPr>
            </w:pPr>
            <w:r>
              <w:rPr>
                <w:rFonts w:ascii="Arial Narrow" w:hAnsi="Arial Narrow" w:cs="Arial"/>
                <w:lang w:val="es-CO"/>
              </w:rPr>
              <w:t>En este momento no es viable esta solicitud toda vez que dificultaría el seguimiento y control por parte de la SSF</w:t>
            </w:r>
            <w:r w:rsidR="00621933">
              <w:rPr>
                <w:rFonts w:ascii="Arial Narrow" w:hAnsi="Arial Narrow" w:cs="Arial"/>
                <w:lang w:val="es-CO"/>
              </w:rPr>
              <w:t xml:space="preserve"> e implicaría llevar a cabo desarrollos tecnológicos en la plataforma SIGER-SIREVAC, </w:t>
            </w:r>
            <w:r w:rsidR="00302942">
              <w:rPr>
                <w:rFonts w:ascii="Arial Narrow" w:hAnsi="Arial Narrow" w:cs="Arial"/>
                <w:lang w:val="es-CO"/>
              </w:rPr>
              <w:t xml:space="preserve">sin </w:t>
            </w:r>
            <w:proofErr w:type="gramStart"/>
            <w:r w:rsidR="00302942">
              <w:rPr>
                <w:rFonts w:ascii="Arial Narrow" w:hAnsi="Arial Narrow" w:cs="Arial"/>
                <w:lang w:val="es-CO"/>
              </w:rPr>
              <w:t>embargo</w:t>
            </w:r>
            <w:proofErr w:type="gramEnd"/>
            <w:r>
              <w:rPr>
                <w:rFonts w:ascii="Arial Narrow" w:hAnsi="Arial Narrow" w:cs="Arial"/>
                <w:lang w:val="es-CO"/>
              </w:rPr>
              <w:t xml:space="preserve"> el Ministerio </w:t>
            </w:r>
            <w:r w:rsidR="00CE00AF">
              <w:rPr>
                <w:rFonts w:ascii="Arial Narrow" w:hAnsi="Arial Narrow" w:cs="Arial"/>
                <w:lang w:val="es-CO"/>
              </w:rPr>
              <w:t>evaluará</w:t>
            </w:r>
            <w:r w:rsidR="00621933">
              <w:rPr>
                <w:rFonts w:ascii="Arial Narrow" w:hAnsi="Arial Narrow" w:cs="Arial"/>
                <w:lang w:val="es-CO"/>
              </w:rPr>
              <w:t xml:space="preserve"> la pertinencia de la solicitud de acuerdo a la dinámica del Fondo y de ser necesario expedir</w:t>
            </w:r>
            <w:r w:rsidR="00302942">
              <w:rPr>
                <w:rFonts w:ascii="Arial Narrow" w:hAnsi="Arial Narrow" w:cs="Arial"/>
                <w:lang w:val="es-CO"/>
              </w:rPr>
              <w:t>á</w:t>
            </w:r>
            <w:r w:rsidR="00621933">
              <w:rPr>
                <w:rFonts w:ascii="Arial Narrow" w:hAnsi="Arial Narrow" w:cs="Arial"/>
                <w:lang w:val="es-CO"/>
              </w:rPr>
              <w:t xml:space="preserve"> el correspondiente acto administrativo</w:t>
            </w:r>
            <w:r w:rsidR="00302942">
              <w:rPr>
                <w:rFonts w:ascii="Arial Narrow" w:hAnsi="Arial Narrow" w:cs="Arial"/>
                <w:lang w:val="es-CO"/>
              </w:rPr>
              <w:t xml:space="preserve"> que busque compensación entre las Subcuentas</w:t>
            </w:r>
          </w:p>
        </w:tc>
      </w:tr>
      <w:tr w:rsidR="00EC359F" w14:paraId="5545D681" w14:textId="77777777" w:rsidTr="00302942">
        <w:tc>
          <w:tcPr>
            <w:tcW w:w="479" w:type="dxa"/>
            <w:vAlign w:val="center"/>
          </w:tcPr>
          <w:p w14:paraId="70A4C2DC" w14:textId="30279631" w:rsidR="00EC359F" w:rsidRDefault="00EC359F" w:rsidP="000879AE">
            <w:pPr>
              <w:jc w:val="center"/>
              <w:rPr>
                <w:rFonts w:ascii="Arial Narrow" w:hAnsi="Arial Narrow" w:cs="Arial"/>
                <w:lang w:val="es-CO"/>
              </w:rPr>
            </w:pPr>
            <w:r>
              <w:rPr>
                <w:rFonts w:ascii="Arial Narrow" w:hAnsi="Arial Narrow" w:cs="Arial"/>
                <w:lang w:val="es-CO"/>
              </w:rPr>
              <w:t>10</w:t>
            </w:r>
          </w:p>
        </w:tc>
        <w:tc>
          <w:tcPr>
            <w:tcW w:w="5328" w:type="dxa"/>
            <w:vAlign w:val="center"/>
          </w:tcPr>
          <w:p w14:paraId="7BD46DA0" w14:textId="74F182EE" w:rsidR="00EC359F" w:rsidRPr="00511ED7" w:rsidRDefault="00EC359F" w:rsidP="00302942">
            <w:pPr>
              <w:rPr>
                <w:rFonts w:ascii="Arial Narrow" w:hAnsi="Arial Narrow" w:cs="Arial"/>
                <w:lang w:val="es-CO"/>
              </w:rPr>
            </w:pPr>
            <w:r w:rsidRPr="00511ED7">
              <w:rPr>
                <w:rFonts w:ascii="Arial Narrow" w:hAnsi="Arial Narrow" w:cs="Arial"/>
                <w:lang w:val="es-CO"/>
              </w:rPr>
              <w:t>Acordar ajustes para fortalecer seguimiento por parte de la Superintendencia en su Sistema de Información</w:t>
            </w:r>
          </w:p>
        </w:tc>
        <w:tc>
          <w:tcPr>
            <w:tcW w:w="7189" w:type="dxa"/>
          </w:tcPr>
          <w:p w14:paraId="1F7E8F22" w14:textId="150CD98B" w:rsidR="00EC359F" w:rsidRDefault="006407CD" w:rsidP="00E00F34">
            <w:pPr>
              <w:jc w:val="both"/>
              <w:rPr>
                <w:rFonts w:ascii="Arial Narrow" w:hAnsi="Arial Narrow" w:cs="Arial"/>
                <w:lang w:val="es-CO"/>
              </w:rPr>
            </w:pPr>
            <w:r>
              <w:rPr>
                <w:rFonts w:ascii="Arial Narrow" w:hAnsi="Arial Narrow" w:cs="Arial"/>
                <w:lang w:val="es-CO"/>
              </w:rPr>
              <w:t xml:space="preserve">La SSF para llevar a cabo el respectivo seguimiento y control a la ejecución del Fondo </w:t>
            </w:r>
            <w:r w:rsidR="00302942">
              <w:rPr>
                <w:rFonts w:ascii="Arial Narrow" w:hAnsi="Arial Narrow" w:cs="Arial"/>
                <w:lang w:val="es-CO"/>
              </w:rPr>
              <w:t>desarrollará</w:t>
            </w:r>
            <w:r>
              <w:rPr>
                <w:rFonts w:ascii="Arial Narrow" w:hAnsi="Arial Narrow" w:cs="Arial"/>
                <w:lang w:val="es-CO"/>
              </w:rPr>
              <w:t xml:space="preserve"> ajustes pertinentes en su plataforma SIGER-SIREVAC y su verificación se hará durante las visitas ordinarias y especiales a las CCF en cada vigencia </w:t>
            </w:r>
          </w:p>
        </w:tc>
      </w:tr>
      <w:tr w:rsidR="00EC359F" w14:paraId="21191E40" w14:textId="77777777" w:rsidTr="00E00F34">
        <w:tc>
          <w:tcPr>
            <w:tcW w:w="479" w:type="dxa"/>
            <w:vAlign w:val="center"/>
          </w:tcPr>
          <w:p w14:paraId="7342F3D1" w14:textId="5FE522AB" w:rsidR="00EC359F" w:rsidRDefault="00EC359F" w:rsidP="000879AE">
            <w:pPr>
              <w:jc w:val="center"/>
              <w:rPr>
                <w:rFonts w:ascii="Arial Narrow" w:hAnsi="Arial Narrow" w:cs="Arial"/>
                <w:lang w:val="es-CO"/>
              </w:rPr>
            </w:pPr>
            <w:r>
              <w:rPr>
                <w:rFonts w:ascii="Arial Narrow" w:hAnsi="Arial Narrow" w:cs="Arial"/>
                <w:lang w:val="es-CO"/>
              </w:rPr>
              <w:lastRenderedPageBreak/>
              <w:t>11</w:t>
            </w:r>
          </w:p>
        </w:tc>
        <w:tc>
          <w:tcPr>
            <w:tcW w:w="5328" w:type="dxa"/>
          </w:tcPr>
          <w:p w14:paraId="6A909AC6" w14:textId="6D0EECE0" w:rsidR="00EC359F" w:rsidRPr="00511ED7" w:rsidRDefault="00EC359F" w:rsidP="00EC359F">
            <w:pPr>
              <w:jc w:val="both"/>
              <w:rPr>
                <w:rFonts w:ascii="Arial Narrow" w:hAnsi="Arial Narrow" w:cs="Arial"/>
                <w:lang w:val="es-CO"/>
              </w:rPr>
            </w:pPr>
            <w:r w:rsidRPr="00511ED7">
              <w:rPr>
                <w:rFonts w:ascii="Arial Narrow" w:hAnsi="Arial Narrow" w:cs="Arial"/>
                <w:lang w:val="es-CO"/>
              </w:rPr>
              <w:t>Las CCF están realizando la planeación de los recursos para el año 2019. Entregan un borrador de presupuesto.</w:t>
            </w:r>
          </w:p>
        </w:tc>
        <w:tc>
          <w:tcPr>
            <w:tcW w:w="7189" w:type="dxa"/>
          </w:tcPr>
          <w:p w14:paraId="488E95E4" w14:textId="3ECA8F4A" w:rsidR="00EC359F" w:rsidRDefault="006407CD" w:rsidP="00E00F34">
            <w:pPr>
              <w:jc w:val="both"/>
              <w:rPr>
                <w:rFonts w:ascii="Arial Narrow" w:hAnsi="Arial Narrow" w:cs="Arial"/>
                <w:lang w:val="es-CO"/>
              </w:rPr>
            </w:pPr>
            <w:r>
              <w:rPr>
                <w:rFonts w:ascii="Arial Narrow" w:hAnsi="Arial Narrow" w:cs="Arial"/>
                <w:lang w:val="es-CO"/>
              </w:rPr>
              <w:t xml:space="preserve">El ministerio del Trabajo para la elaboración de la resolución tuvo en cuenta la proyección de los recursos del </w:t>
            </w:r>
            <w:proofErr w:type="spellStart"/>
            <w:r w:rsidR="00302942">
              <w:rPr>
                <w:rFonts w:ascii="Arial Narrow" w:hAnsi="Arial Narrow" w:cs="Arial"/>
                <w:lang w:val="es-CO"/>
              </w:rPr>
              <w:t>Fosfec</w:t>
            </w:r>
            <w:proofErr w:type="spellEnd"/>
            <w:r>
              <w:rPr>
                <w:rFonts w:ascii="Arial Narrow" w:hAnsi="Arial Narrow" w:cs="Arial"/>
                <w:lang w:val="es-CO"/>
              </w:rPr>
              <w:t xml:space="preserve"> por CCF para las vigencias 2019, 2020, 2021 y 2022</w:t>
            </w:r>
          </w:p>
        </w:tc>
      </w:tr>
      <w:tr w:rsidR="00EC359F" w14:paraId="46B092C6" w14:textId="77777777" w:rsidTr="00302942">
        <w:tc>
          <w:tcPr>
            <w:tcW w:w="479" w:type="dxa"/>
            <w:vAlign w:val="center"/>
          </w:tcPr>
          <w:p w14:paraId="5BAA4F98" w14:textId="0270C70B" w:rsidR="00EC359F" w:rsidRDefault="00EC359F" w:rsidP="000879AE">
            <w:pPr>
              <w:jc w:val="center"/>
              <w:rPr>
                <w:rFonts w:ascii="Arial Narrow" w:hAnsi="Arial Narrow" w:cs="Arial"/>
                <w:lang w:val="es-CO"/>
              </w:rPr>
            </w:pPr>
            <w:r>
              <w:rPr>
                <w:rFonts w:ascii="Arial Narrow" w:hAnsi="Arial Narrow" w:cs="Arial"/>
                <w:lang w:val="es-CO"/>
              </w:rPr>
              <w:t>12</w:t>
            </w:r>
          </w:p>
        </w:tc>
        <w:tc>
          <w:tcPr>
            <w:tcW w:w="5328" w:type="dxa"/>
            <w:vAlign w:val="center"/>
          </w:tcPr>
          <w:p w14:paraId="2FBC6BF6" w14:textId="31392BCE" w:rsidR="00EC359F" w:rsidRPr="00511ED7" w:rsidRDefault="00EC359F" w:rsidP="00302942">
            <w:pPr>
              <w:rPr>
                <w:rFonts w:ascii="Arial Narrow" w:hAnsi="Arial Narrow" w:cs="Arial"/>
                <w:lang w:val="es-CO"/>
              </w:rPr>
            </w:pPr>
            <w:r w:rsidRPr="00511ED7">
              <w:rPr>
                <w:rFonts w:ascii="Arial Narrow" w:hAnsi="Arial Narrow" w:cs="Arial"/>
                <w:lang w:val="es-CO"/>
              </w:rPr>
              <w:t>Se propone que los saldos sin ejecutar del 2018 sean llevados a una cuenta global como saldo inicial para 2019 y luego redistribuirlos entre las subcuentas.</w:t>
            </w:r>
          </w:p>
        </w:tc>
        <w:tc>
          <w:tcPr>
            <w:tcW w:w="7189" w:type="dxa"/>
          </w:tcPr>
          <w:p w14:paraId="6A868BDD" w14:textId="4A1A2B6B" w:rsidR="00EC359F" w:rsidRDefault="00010494" w:rsidP="00E00F34">
            <w:pPr>
              <w:jc w:val="both"/>
              <w:rPr>
                <w:rFonts w:ascii="Arial Narrow" w:hAnsi="Arial Narrow" w:cs="Arial"/>
                <w:lang w:val="es-CO"/>
              </w:rPr>
            </w:pPr>
            <w:r>
              <w:rPr>
                <w:rFonts w:ascii="Arial Narrow" w:hAnsi="Arial Narrow" w:cs="Arial"/>
                <w:lang w:val="es-CO"/>
              </w:rPr>
              <w:t>No es procedente</w:t>
            </w:r>
            <w:r w:rsidR="009C40E7">
              <w:rPr>
                <w:rFonts w:ascii="Arial Narrow" w:hAnsi="Arial Narrow" w:cs="Arial"/>
                <w:lang w:val="es-CO"/>
              </w:rPr>
              <w:t xml:space="preserve"> la redistribución entre subcuentas</w:t>
            </w:r>
            <w:r>
              <w:rPr>
                <w:rFonts w:ascii="Arial Narrow" w:hAnsi="Arial Narrow" w:cs="Arial"/>
                <w:lang w:val="es-CO"/>
              </w:rPr>
              <w:t xml:space="preserve"> teniendo en cuenta el artículo 2 del proyecto de Resolución:</w:t>
            </w:r>
            <w:r w:rsidR="009C40E7">
              <w:rPr>
                <w:rFonts w:ascii="Arial Narrow" w:hAnsi="Arial Narrow" w:cs="Arial"/>
                <w:lang w:val="es-CO"/>
              </w:rPr>
              <w:t xml:space="preserve"> </w:t>
            </w:r>
            <w:r w:rsidR="009C40E7" w:rsidRPr="009C40E7">
              <w:rPr>
                <w:rFonts w:ascii="Arial Narrow" w:hAnsi="Arial Narrow" w:cs="Arial"/>
                <w:lang w:val="es-CO"/>
              </w:rPr>
              <w:t>Saldo de recursos de la vigencia 2018. Los recursos del FOSFEC no ejecutados en la vigencia 2018 y sus respectivos rendimientos, podr</w:t>
            </w:r>
            <w:bookmarkStart w:id="1" w:name="_GoBack"/>
            <w:bookmarkEnd w:id="1"/>
            <w:r w:rsidR="009C40E7" w:rsidRPr="009C40E7">
              <w:rPr>
                <w:rFonts w:ascii="Arial Narrow" w:hAnsi="Arial Narrow" w:cs="Arial"/>
                <w:lang w:val="es-CO"/>
              </w:rPr>
              <w:t>án ser incorporados como saldo inicial de las respectivas subcuentas para atender los servicios y beneficios del Mecanismo de Protección al Cesante durante la vigencia 2019.</w:t>
            </w:r>
            <w:r>
              <w:rPr>
                <w:rFonts w:ascii="Arial Narrow" w:hAnsi="Arial Narrow" w:cs="Arial"/>
                <w:lang w:val="es-CO"/>
              </w:rPr>
              <w:t xml:space="preserve"> </w:t>
            </w:r>
          </w:p>
        </w:tc>
      </w:tr>
    </w:tbl>
    <w:p w14:paraId="2E5D5E8B" w14:textId="4F00B623" w:rsidR="007575F2" w:rsidRDefault="007575F2" w:rsidP="002B79F0">
      <w:pPr>
        <w:jc w:val="both"/>
      </w:pPr>
    </w:p>
    <w:p w14:paraId="69584D08" w14:textId="77777777" w:rsidR="007575F2" w:rsidRDefault="007575F2" w:rsidP="002B79F0">
      <w:pPr>
        <w:jc w:val="both"/>
      </w:pPr>
    </w:p>
    <w:sectPr w:rsidR="007575F2" w:rsidSect="0081439C">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A7B1" w14:textId="77777777" w:rsidR="00A675D9" w:rsidRDefault="00A675D9" w:rsidP="00784B94">
      <w:r>
        <w:separator/>
      </w:r>
    </w:p>
  </w:endnote>
  <w:endnote w:type="continuationSeparator" w:id="0">
    <w:p w14:paraId="093A0A13" w14:textId="77777777" w:rsidR="00A675D9" w:rsidRDefault="00A675D9"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80F8" w14:textId="72D698D1" w:rsidR="00784B94" w:rsidRPr="00F90024" w:rsidRDefault="00B7629A" w:rsidP="00F90024">
    <w:pPr>
      <w:pStyle w:val="Piedepgina"/>
      <w:rPr>
        <w:lang w:val="es-ES"/>
      </w:rPr>
    </w:pPr>
    <w:r>
      <w:rPr>
        <w:noProof/>
        <w:lang w:eastAsia="es-ES_tradnl"/>
      </w:rPr>
      <mc:AlternateContent>
        <mc:Choice Requires="wps">
          <w:drawing>
            <wp:anchor distT="0" distB="0" distL="114300" distR="114300" simplePos="0" relativeHeight="251662336" behindDoc="0" locked="0" layoutInCell="1" allowOverlap="1" wp14:anchorId="2DB17526" wp14:editId="0CDA1B87">
              <wp:simplePos x="0" y="0"/>
              <wp:positionH relativeFrom="column">
                <wp:posOffset>-1028700</wp:posOffset>
              </wp:positionH>
              <wp:positionV relativeFrom="paragraph">
                <wp:posOffset>-619125</wp:posOffset>
              </wp:positionV>
              <wp:extent cx="7658100" cy="0"/>
              <wp:effectExtent l="0" t="0" r="12700" b="25400"/>
              <wp:wrapNone/>
              <wp:docPr id="9" name="Conector recto 9"/>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B2DF012"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pt,-48.7pt" to="522pt,-4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" strokecolor="#5b9bd5 [3204]" strokeweight=".5pt">
              <v:stroke joinstyle="miter"/>
            </v:line>
          </w:pict>
        </mc:Fallback>
      </mc:AlternateContent>
    </w:r>
    <w:r w:rsidR="00F90024">
      <w:rPr>
        <w:noProof/>
        <w:lang w:eastAsia="es-ES_tradnl"/>
      </w:rPr>
      <w:drawing>
        <wp:anchor distT="0" distB="0" distL="114300" distR="114300" simplePos="0" relativeHeight="251661312" behindDoc="0" locked="0" layoutInCell="1" allowOverlap="1" wp14:anchorId="2B84DB85" wp14:editId="1FE7F821">
          <wp:simplePos x="0" y="0"/>
          <wp:positionH relativeFrom="column">
            <wp:posOffset>457200</wp:posOffset>
          </wp:positionH>
          <wp:positionV relativeFrom="paragraph">
            <wp:posOffset>-504825</wp:posOffset>
          </wp:positionV>
          <wp:extent cx="4572635" cy="851535"/>
          <wp:effectExtent l="0" t="0" r="0" b="12065"/>
          <wp:wrapThrough wrapText="bothSides">
            <wp:wrapPolygon edited="0">
              <wp:start x="0" y="0"/>
              <wp:lineTo x="0" y="21262"/>
              <wp:lineTo x="21477" y="21262"/>
              <wp:lineTo x="21477"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a menbrete-01.jpg"/>
                  <pic:cNvPicPr/>
                </pic:nvPicPr>
                <pic:blipFill>
                  <a:blip r:embed="rId1">
                    <a:extLst>
                      <a:ext uri="{28A0092B-C50C-407E-A947-70E740481C1C}">
                        <a14:useLocalDpi xmlns:a14="http://schemas.microsoft.com/office/drawing/2010/main" val="0"/>
                      </a:ext>
                    </a:extLst>
                  </a:blip>
                  <a:stretch>
                    <a:fillRect/>
                  </a:stretch>
                </pic:blipFill>
                <pic:spPr>
                  <a:xfrm>
                    <a:off x="0" y="0"/>
                    <a:ext cx="4572635" cy="8515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3D84" w14:textId="77777777" w:rsidR="00A675D9" w:rsidRDefault="00A675D9" w:rsidP="00784B94">
      <w:r>
        <w:separator/>
      </w:r>
    </w:p>
  </w:footnote>
  <w:footnote w:type="continuationSeparator" w:id="0">
    <w:p w14:paraId="71B637D7" w14:textId="77777777" w:rsidR="00A675D9" w:rsidRDefault="00A675D9" w:rsidP="0078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6699" w14:textId="77777777" w:rsidR="00784B94" w:rsidRDefault="00784B94">
    <w:pPr>
      <w:pStyle w:val="Encabezado"/>
    </w:pPr>
    <w:r>
      <w:rPr>
        <w:noProof/>
        <w:lang w:eastAsia="es-ES_tradnl"/>
      </w:rPr>
      <w:drawing>
        <wp:anchor distT="0" distB="0" distL="114300" distR="114300" simplePos="0" relativeHeight="251658240" behindDoc="0" locked="0" layoutInCell="1" allowOverlap="1" wp14:anchorId="554A6923" wp14:editId="6A126B25">
          <wp:simplePos x="0" y="0"/>
          <wp:positionH relativeFrom="column">
            <wp:posOffset>-580390</wp:posOffset>
          </wp:positionH>
          <wp:positionV relativeFrom="paragraph">
            <wp:posOffset>-282575</wp:posOffset>
          </wp:positionV>
          <wp:extent cx="3988435" cy="819150"/>
          <wp:effectExtent l="0" t="0" r="0" b="0"/>
          <wp:wrapThrough wrapText="bothSides">
            <wp:wrapPolygon edited="0">
              <wp:start x="0" y="0"/>
              <wp:lineTo x="0" y="20763"/>
              <wp:lineTo x="21459" y="20763"/>
              <wp:lineTo x="2145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io del trabjo-gob de colombia-01.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88435" cy="819150"/>
                  </a:xfrm>
                  <a:prstGeom prst="rect">
                    <a:avLst/>
                  </a:prstGeom>
                </pic:spPr>
              </pic:pic>
            </a:graphicData>
          </a:graphic>
          <wp14:sizeRelH relativeFrom="page">
            <wp14:pctWidth>0</wp14:pctWidth>
          </wp14:sizeRelH>
          <wp14:sizeRelV relativeFrom="page">
            <wp14:pctHeight>0</wp14:pctHeight>
          </wp14:sizeRelV>
        </wp:anchor>
      </w:drawing>
    </w:r>
  </w:p>
  <w:p w14:paraId="39DECAA2" w14:textId="77777777" w:rsidR="00784B94" w:rsidRDefault="00784B94">
    <w:pPr>
      <w:pStyle w:val="Encabezado"/>
    </w:pPr>
  </w:p>
  <w:p w14:paraId="33107488" w14:textId="77777777" w:rsidR="00784B94" w:rsidRDefault="00784B94">
    <w:pPr>
      <w:pStyle w:val="Encabezado"/>
    </w:pPr>
    <w:r>
      <w:rPr>
        <w:noProof/>
        <w:lang w:eastAsia="es-ES_tradnl"/>
      </w:rPr>
      <mc:AlternateContent>
        <mc:Choice Requires="wps">
          <w:drawing>
            <wp:anchor distT="0" distB="0" distL="114300" distR="114300" simplePos="0" relativeHeight="251660288" behindDoc="0" locked="0" layoutInCell="1" allowOverlap="1" wp14:anchorId="5E364242" wp14:editId="6298B75D">
              <wp:simplePos x="0" y="0"/>
              <wp:positionH relativeFrom="column">
                <wp:posOffset>-1142365</wp:posOffset>
              </wp:positionH>
              <wp:positionV relativeFrom="paragraph">
                <wp:posOffset>323850</wp:posOffset>
              </wp:positionV>
              <wp:extent cx="7771765" cy="2540"/>
              <wp:effectExtent l="0" t="0" r="26035" b="48260"/>
              <wp:wrapNone/>
              <wp:docPr id="3" name="Conector recto 3"/>
              <wp:cNvGraphicFramePr/>
              <a:graphic xmlns:a="http://schemas.openxmlformats.org/drawingml/2006/main">
                <a:graphicData uri="http://schemas.microsoft.com/office/word/2010/wordprocessingShape">
                  <wps:wsp>
                    <wps:cNvCnPr/>
                    <wps:spPr>
                      <a:xfrm flipV="1">
                        <a:off x="0" y="0"/>
                        <a:ext cx="7771765" cy="254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41EF09" id="Conector recto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5pt,25.5pt" to="522pt,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" strokecolor="#acb9ca [1311]" strokeweight=".5pt">
              <v:stroke joinstyle="miter"/>
            </v:line>
          </w:pict>
        </mc:Fallback>
      </mc:AlternateContent>
    </w:r>
  </w:p>
  <w:p w14:paraId="19534A6B" w14:textId="77777777" w:rsidR="00784B94" w:rsidRDefault="00784B94">
    <w:pPr>
      <w:pStyle w:val="Encabezado"/>
    </w:pPr>
  </w:p>
  <w:p w14:paraId="2B5AA983" w14:textId="77777777" w:rsidR="00784B94" w:rsidRDefault="00784B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94"/>
    <w:rsid w:val="00010494"/>
    <w:rsid w:val="000872E9"/>
    <w:rsid w:val="000879AE"/>
    <w:rsid w:val="000A6EE9"/>
    <w:rsid w:val="000C19C8"/>
    <w:rsid w:val="000C1E24"/>
    <w:rsid w:val="00115113"/>
    <w:rsid w:val="001415AB"/>
    <w:rsid w:val="00153248"/>
    <w:rsid w:val="00227AA8"/>
    <w:rsid w:val="002347CF"/>
    <w:rsid w:val="002B79F0"/>
    <w:rsid w:val="002E3C26"/>
    <w:rsid w:val="00302942"/>
    <w:rsid w:val="0032436A"/>
    <w:rsid w:val="00412363"/>
    <w:rsid w:val="00421DE4"/>
    <w:rsid w:val="004849C1"/>
    <w:rsid w:val="004B184C"/>
    <w:rsid w:val="004F1F36"/>
    <w:rsid w:val="00511ED7"/>
    <w:rsid w:val="00545389"/>
    <w:rsid w:val="0057604B"/>
    <w:rsid w:val="00621933"/>
    <w:rsid w:val="006407CD"/>
    <w:rsid w:val="006704B4"/>
    <w:rsid w:val="00696DE6"/>
    <w:rsid w:val="00716A29"/>
    <w:rsid w:val="00725BD3"/>
    <w:rsid w:val="007320AB"/>
    <w:rsid w:val="00746867"/>
    <w:rsid w:val="007575F2"/>
    <w:rsid w:val="00784B94"/>
    <w:rsid w:val="0081439C"/>
    <w:rsid w:val="008B6185"/>
    <w:rsid w:val="008C20BE"/>
    <w:rsid w:val="00903ACC"/>
    <w:rsid w:val="00962412"/>
    <w:rsid w:val="009865E8"/>
    <w:rsid w:val="009A039D"/>
    <w:rsid w:val="009A758A"/>
    <w:rsid w:val="009C40E7"/>
    <w:rsid w:val="009C5A94"/>
    <w:rsid w:val="00A33905"/>
    <w:rsid w:val="00A675D9"/>
    <w:rsid w:val="00AA10D2"/>
    <w:rsid w:val="00AF5DD1"/>
    <w:rsid w:val="00B34D73"/>
    <w:rsid w:val="00B7629A"/>
    <w:rsid w:val="00BD3F87"/>
    <w:rsid w:val="00C5185F"/>
    <w:rsid w:val="00C6423A"/>
    <w:rsid w:val="00CB06AB"/>
    <w:rsid w:val="00CE00AF"/>
    <w:rsid w:val="00D234BB"/>
    <w:rsid w:val="00D4242B"/>
    <w:rsid w:val="00DC565D"/>
    <w:rsid w:val="00E32C1C"/>
    <w:rsid w:val="00E86DCA"/>
    <w:rsid w:val="00EA1094"/>
    <w:rsid w:val="00EA7D7F"/>
    <w:rsid w:val="00EC359F"/>
    <w:rsid w:val="00ED337B"/>
    <w:rsid w:val="00EE15C0"/>
    <w:rsid w:val="00F27EDB"/>
    <w:rsid w:val="00F6219F"/>
    <w:rsid w:val="00F90024"/>
    <w:rsid w:val="00FB7A85"/>
    <w:rsid w:val="00FD61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4A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table" w:styleId="Tablaconcuadrcula">
    <w:name w:val="Table Grid"/>
    <w:basedOn w:val="Tablanormal"/>
    <w:uiPriority w:val="39"/>
    <w:rsid w:val="00EA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9F0"/>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7734">
      <w:bodyDiv w:val="1"/>
      <w:marLeft w:val="0"/>
      <w:marRight w:val="0"/>
      <w:marTop w:val="0"/>
      <w:marBottom w:val="0"/>
      <w:divBdr>
        <w:top w:val="none" w:sz="0" w:space="0" w:color="auto"/>
        <w:left w:val="none" w:sz="0" w:space="0" w:color="auto"/>
        <w:bottom w:val="none" w:sz="0" w:space="0" w:color="auto"/>
        <w:right w:val="none" w:sz="0" w:space="0" w:color="auto"/>
      </w:divBdr>
    </w:div>
    <w:div w:id="476264279">
      <w:bodyDiv w:val="1"/>
      <w:marLeft w:val="0"/>
      <w:marRight w:val="0"/>
      <w:marTop w:val="0"/>
      <w:marBottom w:val="0"/>
      <w:divBdr>
        <w:top w:val="none" w:sz="0" w:space="0" w:color="auto"/>
        <w:left w:val="none" w:sz="0" w:space="0" w:color="auto"/>
        <w:bottom w:val="none" w:sz="0" w:space="0" w:color="auto"/>
        <w:right w:val="none" w:sz="0" w:space="0" w:color="auto"/>
      </w:divBdr>
    </w:div>
    <w:div w:id="506361045">
      <w:bodyDiv w:val="1"/>
      <w:marLeft w:val="0"/>
      <w:marRight w:val="0"/>
      <w:marTop w:val="0"/>
      <w:marBottom w:val="0"/>
      <w:divBdr>
        <w:top w:val="none" w:sz="0" w:space="0" w:color="auto"/>
        <w:left w:val="none" w:sz="0" w:space="0" w:color="auto"/>
        <w:bottom w:val="none" w:sz="0" w:space="0" w:color="auto"/>
        <w:right w:val="none" w:sz="0" w:space="0" w:color="auto"/>
      </w:divBdr>
    </w:div>
    <w:div w:id="570894554">
      <w:bodyDiv w:val="1"/>
      <w:marLeft w:val="0"/>
      <w:marRight w:val="0"/>
      <w:marTop w:val="0"/>
      <w:marBottom w:val="0"/>
      <w:divBdr>
        <w:top w:val="none" w:sz="0" w:space="0" w:color="auto"/>
        <w:left w:val="none" w:sz="0" w:space="0" w:color="auto"/>
        <w:bottom w:val="none" w:sz="0" w:space="0" w:color="auto"/>
        <w:right w:val="none" w:sz="0" w:space="0" w:color="auto"/>
      </w:divBdr>
    </w:div>
    <w:div w:id="572786435">
      <w:bodyDiv w:val="1"/>
      <w:marLeft w:val="0"/>
      <w:marRight w:val="0"/>
      <w:marTop w:val="0"/>
      <w:marBottom w:val="0"/>
      <w:divBdr>
        <w:top w:val="none" w:sz="0" w:space="0" w:color="auto"/>
        <w:left w:val="none" w:sz="0" w:space="0" w:color="auto"/>
        <w:bottom w:val="none" w:sz="0" w:space="0" w:color="auto"/>
        <w:right w:val="none" w:sz="0" w:space="0" w:color="auto"/>
      </w:divBdr>
    </w:div>
    <w:div w:id="831916187">
      <w:bodyDiv w:val="1"/>
      <w:marLeft w:val="0"/>
      <w:marRight w:val="0"/>
      <w:marTop w:val="0"/>
      <w:marBottom w:val="0"/>
      <w:divBdr>
        <w:top w:val="none" w:sz="0" w:space="0" w:color="auto"/>
        <w:left w:val="none" w:sz="0" w:space="0" w:color="auto"/>
        <w:bottom w:val="none" w:sz="0" w:space="0" w:color="auto"/>
        <w:right w:val="none" w:sz="0" w:space="0" w:color="auto"/>
      </w:divBdr>
    </w:div>
    <w:div w:id="1025909875">
      <w:bodyDiv w:val="1"/>
      <w:marLeft w:val="0"/>
      <w:marRight w:val="0"/>
      <w:marTop w:val="0"/>
      <w:marBottom w:val="0"/>
      <w:divBdr>
        <w:top w:val="none" w:sz="0" w:space="0" w:color="auto"/>
        <w:left w:val="none" w:sz="0" w:space="0" w:color="auto"/>
        <w:bottom w:val="none" w:sz="0" w:space="0" w:color="auto"/>
        <w:right w:val="none" w:sz="0" w:space="0" w:color="auto"/>
      </w:divBdr>
    </w:div>
    <w:div w:id="1471701856">
      <w:bodyDiv w:val="1"/>
      <w:marLeft w:val="0"/>
      <w:marRight w:val="0"/>
      <w:marTop w:val="0"/>
      <w:marBottom w:val="0"/>
      <w:divBdr>
        <w:top w:val="none" w:sz="0" w:space="0" w:color="auto"/>
        <w:left w:val="none" w:sz="0" w:space="0" w:color="auto"/>
        <w:bottom w:val="none" w:sz="0" w:space="0" w:color="auto"/>
        <w:right w:val="none" w:sz="0" w:space="0" w:color="auto"/>
      </w:divBdr>
    </w:div>
    <w:div w:id="1767386841">
      <w:bodyDiv w:val="1"/>
      <w:marLeft w:val="0"/>
      <w:marRight w:val="0"/>
      <w:marTop w:val="0"/>
      <w:marBottom w:val="0"/>
      <w:divBdr>
        <w:top w:val="none" w:sz="0" w:space="0" w:color="auto"/>
        <w:left w:val="none" w:sz="0" w:space="0" w:color="auto"/>
        <w:bottom w:val="none" w:sz="0" w:space="0" w:color="auto"/>
        <w:right w:val="none" w:sz="0" w:space="0" w:color="auto"/>
      </w:divBdr>
    </w:div>
    <w:div w:id="1792435145">
      <w:bodyDiv w:val="1"/>
      <w:marLeft w:val="0"/>
      <w:marRight w:val="0"/>
      <w:marTop w:val="0"/>
      <w:marBottom w:val="0"/>
      <w:divBdr>
        <w:top w:val="none" w:sz="0" w:space="0" w:color="auto"/>
        <w:left w:val="none" w:sz="0" w:space="0" w:color="auto"/>
        <w:bottom w:val="none" w:sz="0" w:space="0" w:color="auto"/>
        <w:right w:val="none" w:sz="0" w:space="0" w:color="auto"/>
      </w:divBdr>
    </w:div>
    <w:div w:id="2076272754">
      <w:bodyDiv w:val="1"/>
      <w:marLeft w:val="0"/>
      <w:marRight w:val="0"/>
      <w:marTop w:val="0"/>
      <w:marBottom w:val="0"/>
      <w:divBdr>
        <w:top w:val="none" w:sz="0" w:space="0" w:color="auto"/>
        <w:left w:val="none" w:sz="0" w:space="0" w:color="auto"/>
        <w:bottom w:val="none" w:sz="0" w:space="0" w:color="auto"/>
        <w:right w:val="none" w:sz="0" w:space="0" w:color="auto"/>
      </w:divBdr>
      <w:divsChild>
        <w:div w:id="1227186626">
          <w:marLeft w:val="0"/>
          <w:marRight w:val="0"/>
          <w:marTop w:val="0"/>
          <w:marBottom w:val="0"/>
          <w:divBdr>
            <w:top w:val="none" w:sz="0" w:space="0" w:color="auto"/>
            <w:left w:val="none" w:sz="0" w:space="0" w:color="auto"/>
            <w:bottom w:val="none" w:sz="0" w:space="0" w:color="auto"/>
            <w:right w:val="none" w:sz="0" w:space="0" w:color="auto"/>
          </w:divBdr>
          <w:divsChild>
            <w:div w:id="1711764997">
              <w:marLeft w:val="0"/>
              <w:marRight w:val="0"/>
              <w:marTop w:val="0"/>
              <w:marBottom w:val="0"/>
              <w:divBdr>
                <w:top w:val="none" w:sz="0" w:space="0" w:color="auto"/>
                <w:left w:val="none" w:sz="0" w:space="0" w:color="auto"/>
                <w:bottom w:val="none" w:sz="0" w:space="0" w:color="auto"/>
                <w:right w:val="none" w:sz="0" w:space="0" w:color="auto"/>
              </w:divBdr>
              <w:divsChild>
                <w:div w:id="10825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8D86A0-0ADF-4036-B13D-C91F5429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2191</Words>
  <Characters>12051</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Eliécer Monroy Barrios</cp:lastModifiedBy>
  <cp:revision>21</cp:revision>
  <dcterms:created xsi:type="dcterms:W3CDTF">2018-11-09T14:10:00Z</dcterms:created>
  <dcterms:modified xsi:type="dcterms:W3CDTF">2018-11-09T17:02:00Z</dcterms:modified>
</cp:coreProperties>
</file>