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0B2B5E" w14:paraId="594DB416" w14:textId="77777777">
        <w:trPr>
          <w:trHeight w:val="97"/>
        </w:trPr>
        <w:tc>
          <w:tcPr>
            <w:tcW w:w="3434" w:type="dxa"/>
            <w:tcBorders>
              <w:top w:val="single" w:sz="4" w:space="0" w:color="auto"/>
              <w:bottom w:val="single" w:sz="4" w:space="0" w:color="auto"/>
              <w:right w:val="single" w:sz="4" w:space="0" w:color="auto"/>
            </w:tcBorders>
            <w:shd w:val="clear" w:color="auto" w:fill="A6A6A6"/>
            <w:vAlign w:val="center"/>
          </w:tcPr>
          <w:p w14:paraId="04E3C39E" w14:textId="77777777" w:rsidR="0026513E" w:rsidRPr="000B2B5E" w:rsidRDefault="00795C6B" w:rsidP="002264B8">
            <w:pPr>
              <w:pStyle w:val="Ttulo2"/>
              <w:ind w:right="72"/>
              <w:jc w:val="left"/>
              <w:rPr>
                <w:rFonts w:cs="Arial"/>
                <w:bCs/>
                <w:color w:val="FFFFFF"/>
                <w:sz w:val="22"/>
                <w:szCs w:val="22"/>
              </w:rPr>
            </w:pPr>
            <w:r w:rsidRPr="000B2B5E">
              <w:rPr>
                <w:rFonts w:cs="Arial"/>
                <w:color w:val="FFFFFF"/>
                <w:sz w:val="22"/>
                <w:szCs w:val="22"/>
                <w:lang w:val="es-CO"/>
              </w:rPr>
              <w:t>Entidad</w:t>
            </w:r>
            <w:r w:rsidR="00086B16" w:rsidRPr="000B2B5E">
              <w:rPr>
                <w:rFonts w:cs="Arial"/>
                <w:color w:val="FFFFFF"/>
                <w:sz w:val="22"/>
                <w:szCs w:val="22"/>
                <w:lang w:val="es-CO"/>
              </w:rPr>
              <w:t xml:space="preserve"> </w:t>
            </w:r>
            <w:r w:rsidRPr="000B2B5E">
              <w:rPr>
                <w:rFonts w:cs="Arial"/>
                <w:color w:val="FFFFFF"/>
                <w:sz w:val="22"/>
                <w:szCs w:val="22"/>
                <w:lang w:val="es-CO"/>
              </w:rPr>
              <w:t>originadora</w:t>
            </w:r>
            <w:r w:rsidR="00293F29" w:rsidRPr="000B2B5E">
              <w:rPr>
                <w:rFonts w:cs="Arial"/>
                <w:color w:val="FFFFFF"/>
                <w:sz w:val="22"/>
                <w:szCs w:val="22"/>
                <w:lang w:val="es-CO"/>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30D43DA5" w14:textId="5399B271" w:rsidR="0026513E" w:rsidRPr="000B2B5E" w:rsidRDefault="00994FE0" w:rsidP="00795C6B">
            <w:pPr>
              <w:pStyle w:val="Ttulo2"/>
              <w:ind w:left="72" w:right="72"/>
              <w:jc w:val="left"/>
              <w:rPr>
                <w:rFonts w:cs="Arial"/>
                <w:b w:val="0"/>
                <w:i/>
                <w:color w:val="808080"/>
                <w:sz w:val="22"/>
                <w:szCs w:val="22"/>
              </w:rPr>
            </w:pPr>
            <w:r w:rsidRPr="000B2B5E">
              <w:rPr>
                <w:rFonts w:cs="Arial"/>
                <w:b w:val="0"/>
                <w:bCs/>
                <w:sz w:val="22"/>
                <w:szCs w:val="22"/>
              </w:rPr>
              <w:t xml:space="preserve">MINISTERIO DEL TRABAJO </w:t>
            </w:r>
          </w:p>
        </w:tc>
      </w:tr>
      <w:tr w:rsidR="005C4522" w:rsidRPr="000B2B5E" w14:paraId="4A71D3FC" w14:textId="77777777">
        <w:trPr>
          <w:trHeight w:val="97"/>
        </w:trPr>
        <w:tc>
          <w:tcPr>
            <w:tcW w:w="3434" w:type="dxa"/>
            <w:tcBorders>
              <w:top w:val="single" w:sz="4" w:space="0" w:color="auto"/>
              <w:bottom w:val="single" w:sz="4" w:space="0" w:color="auto"/>
              <w:right w:val="single" w:sz="4" w:space="0" w:color="auto"/>
            </w:tcBorders>
            <w:shd w:val="clear" w:color="auto" w:fill="A6A6A6"/>
            <w:vAlign w:val="center"/>
          </w:tcPr>
          <w:p w14:paraId="1502A555" w14:textId="77777777" w:rsidR="00C47F73" w:rsidRPr="000B2B5E" w:rsidRDefault="0026513E" w:rsidP="002264B8">
            <w:pPr>
              <w:pStyle w:val="Ttulo2"/>
              <w:ind w:right="72"/>
              <w:jc w:val="left"/>
              <w:rPr>
                <w:rFonts w:cs="Arial"/>
                <w:bCs/>
                <w:color w:val="FFFFFF"/>
                <w:sz w:val="22"/>
                <w:szCs w:val="22"/>
              </w:rPr>
            </w:pPr>
            <w:r w:rsidRPr="000B2B5E">
              <w:rPr>
                <w:rFonts w:cs="Arial"/>
                <w:bCs/>
                <w:color w:val="FFFFFF"/>
                <w:sz w:val="22"/>
                <w:szCs w:val="22"/>
              </w:rPr>
              <w:t>Fecha</w:t>
            </w:r>
            <w:r w:rsidR="00BB545F" w:rsidRPr="000B2B5E">
              <w:rPr>
                <w:rFonts w:cs="Arial"/>
                <w:bCs/>
                <w:color w:val="FFFFFF"/>
                <w:sz w:val="22"/>
                <w:szCs w:val="22"/>
              </w:rPr>
              <w:t xml:space="preserve"> (</w:t>
            </w:r>
            <w:proofErr w:type="spellStart"/>
            <w:r w:rsidR="00BB545F" w:rsidRPr="000B2B5E">
              <w:rPr>
                <w:rFonts w:cs="Arial"/>
                <w:bCs/>
                <w:color w:val="FFFFFF"/>
                <w:sz w:val="22"/>
                <w:szCs w:val="22"/>
              </w:rPr>
              <w:t>dd</w:t>
            </w:r>
            <w:proofErr w:type="spellEnd"/>
            <w:r w:rsidR="00BB545F" w:rsidRPr="000B2B5E">
              <w:rPr>
                <w:rFonts w:cs="Arial"/>
                <w:bCs/>
                <w:color w:val="FFFFFF"/>
                <w:sz w:val="22"/>
                <w:szCs w:val="22"/>
              </w:rPr>
              <w:t>/mm/</w:t>
            </w:r>
            <w:proofErr w:type="spellStart"/>
            <w:r w:rsidR="00BB545F" w:rsidRPr="000B2B5E">
              <w:rPr>
                <w:rFonts w:cs="Arial"/>
                <w:bCs/>
                <w:color w:val="FFFFFF"/>
                <w:sz w:val="22"/>
                <w:szCs w:val="22"/>
              </w:rPr>
              <w:t>aa</w:t>
            </w:r>
            <w:proofErr w:type="spellEnd"/>
            <w:r w:rsidR="00BB545F" w:rsidRPr="000B2B5E">
              <w:rPr>
                <w:rFonts w:cs="Arial"/>
                <w:bCs/>
                <w:color w:val="FFFFFF"/>
                <w:sz w:val="22"/>
                <w:szCs w:val="22"/>
              </w:rPr>
              <w:t>)</w:t>
            </w:r>
            <w:r w:rsidR="00293F29" w:rsidRPr="000B2B5E">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218D7297" w14:textId="362CE116" w:rsidR="00C47F73" w:rsidRPr="000B2B5E" w:rsidRDefault="00862AD4" w:rsidP="005F30C3">
            <w:pPr>
              <w:pStyle w:val="Ttulo2"/>
              <w:ind w:left="72" w:right="72"/>
              <w:jc w:val="left"/>
              <w:rPr>
                <w:rFonts w:cs="Arial"/>
                <w:b w:val="0"/>
                <w:iCs/>
                <w:sz w:val="22"/>
                <w:szCs w:val="22"/>
              </w:rPr>
            </w:pPr>
            <w:r w:rsidRPr="000B2B5E">
              <w:rPr>
                <w:rFonts w:cs="Arial"/>
                <w:b w:val="0"/>
                <w:iCs/>
                <w:sz w:val="22"/>
                <w:szCs w:val="22"/>
              </w:rPr>
              <w:t xml:space="preserve">Agosto </w:t>
            </w:r>
            <w:r w:rsidR="00993EC7" w:rsidRPr="000B2B5E">
              <w:rPr>
                <w:rFonts w:cs="Arial"/>
                <w:b w:val="0"/>
                <w:iCs/>
                <w:sz w:val="22"/>
                <w:szCs w:val="22"/>
              </w:rPr>
              <w:t>2023</w:t>
            </w:r>
          </w:p>
        </w:tc>
      </w:tr>
      <w:tr w:rsidR="005C4522" w:rsidRPr="000B2B5E" w14:paraId="3C4DE5DC" w14:textId="77777777">
        <w:trPr>
          <w:trHeight w:val="97"/>
        </w:trPr>
        <w:tc>
          <w:tcPr>
            <w:tcW w:w="3434" w:type="dxa"/>
            <w:tcBorders>
              <w:top w:val="single" w:sz="4" w:space="0" w:color="auto"/>
              <w:bottom w:val="single" w:sz="4" w:space="0" w:color="auto"/>
              <w:right w:val="single" w:sz="4" w:space="0" w:color="auto"/>
            </w:tcBorders>
            <w:shd w:val="clear" w:color="auto" w:fill="A6A6A6"/>
            <w:vAlign w:val="center"/>
          </w:tcPr>
          <w:p w14:paraId="0BDE4F2E" w14:textId="77777777" w:rsidR="0059316B" w:rsidRPr="000B2B5E" w:rsidRDefault="00A55DB6" w:rsidP="002264B8">
            <w:pPr>
              <w:pStyle w:val="Ttulo2"/>
              <w:ind w:right="72"/>
              <w:jc w:val="left"/>
              <w:rPr>
                <w:rFonts w:cs="Arial"/>
                <w:bCs/>
                <w:color w:val="FFFFFF"/>
                <w:sz w:val="22"/>
                <w:szCs w:val="22"/>
              </w:rPr>
            </w:pPr>
            <w:r w:rsidRPr="000B2B5E">
              <w:rPr>
                <w:rFonts w:cs="Arial"/>
                <w:bCs/>
                <w:color w:val="FFFFFF"/>
                <w:sz w:val="22"/>
                <w:szCs w:val="22"/>
              </w:rPr>
              <w:t xml:space="preserve">Proyecto de </w:t>
            </w:r>
            <w:r w:rsidR="00587695" w:rsidRPr="000B2B5E">
              <w:rPr>
                <w:rFonts w:cs="Arial"/>
                <w:bCs/>
                <w:color w:val="FFFFFF"/>
                <w:sz w:val="22"/>
                <w:szCs w:val="22"/>
              </w:rPr>
              <w:t>D</w:t>
            </w:r>
            <w:r w:rsidRPr="000B2B5E">
              <w:rPr>
                <w:rFonts w:cs="Arial"/>
                <w:bCs/>
                <w:color w:val="FFFFFF"/>
                <w:sz w:val="22"/>
                <w:szCs w:val="22"/>
              </w:rPr>
              <w:t>ecreto</w:t>
            </w:r>
            <w:r w:rsidR="00795C6B" w:rsidRPr="000B2B5E">
              <w:rPr>
                <w:rFonts w:cs="Arial"/>
                <w:bCs/>
                <w:color w:val="FFFFFF"/>
                <w:sz w:val="22"/>
                <w:szCs w:val="22"/>
              </w:rPr>
              <w:t>/Resolución</w:t>
            </w:r>
            <w:r w:rsidR="00293F29" w:rsidRPr="000B2B5E">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0C7E4959" w14:textId="77777777" w:rsidR="00862AD4" w:rsidRPr="000B2B5E" w:rsidRDefault="00862AD4" w:rsidP="00862AD4">
            <w:pPr>
              <w:shd w:val="clear" w:color="auto" w:fill="FFFFFF" w:themeFill="background1"/>
              <w:jc w:val="both"/>
              <w:rPr>
                <w:rFonts w:cs="Arial"/>
                <w:color w:val="4D5156"/>
                <w:sz w:val="22"/>
                <w:szCs w:val="22"/>
                <w:lang w:val="es"/>
              </w:rPr>
            </w:pPr>
            <w:r w:rsidRPr="000B2B5E">
              <w:rPr>
                <w:rFonts w:cs="Arial"/>
                <w:sz w:val="22"/>
                <w:szCs w:val="22"/>
              </w:rPr>
              <w:t>Por el cual adiciona el adiciona el Titulo 2 a la Parte 1 del Libro 2 del Decreto 1072 de 2015 Único Reglamentario del sector Trabajo, y se adopta la Política Pública de Trabajo Digno y Decente</w:t>
            </w:r>
          </w:p>
          <w:p w14:paraId="6A904903" w14:textId="5376B804" w:rsidR="001F238A" w:rsidRPr="000B2B5E" w:rsidRDefault="001F238A" w:rsidP="00993EC7">
            <w:pPr>
              <w:jc w:val="both"/>
              <w:rPr>
                <w:rFonts w:cs="Arial"/>
                <w:sz w:val="22"/>
                <w:szCs w:val="22"/>
                <w:lang w:val="es"/>
              </w:rPr>
            </w:pPr>
          </w:p>
        </w:tc>
      </w:tr>
      <w:tr w:rsidR="00DF60FD" w:rsidRPr="000B2B5E" w14:paraId="2F9D5B45" w14:textId="77777777" w:rsidTr="0075705D">
        <w:trPr>
          <w:trHeight w:val="674"/>
        </w:trPr>
        <w:tc>
          <w:tcPr>
            <w:tcW w:w="10774" w:type="dxa"/>
            <w:gridSpan w:val="3"/>
            <w:tcBorders>
              <w:top w:val="single" w:sz="4" w:space="0" w:color="auto"/>
            </w:tcBorders>
            <w:shd w:val="clear" w:color="auto" w:fill="FFFFFF"/>
            <w:vAlign w:val="center"/>
          </w:tcPr>
          <w:p w14:paraId="137806BC" w14:textId="5ABB0C62" w:rsidR="006315B4" w:rsidRPr="000B2B5E" w:rsidRDefault="006315B4" w:rsidP="0075705D">
            <w:pPr>
              <w:autoSpaceDE w:val="0"/>
              <w:autoSpaceDN w:val="0"/>
              <w:adjustRightInd w:val="0"/>
              <w:jc w:val="both"/>
              <w:rPr>
                <w:rFonts w:eastAsia="Calibri" w:cs="Arial"/>
                <w:sz w:val="22"/>
                <w:szCs w:val="22"/>
                <w:lang w:val="es-CO" w:eastAsia="en-US"/>
              </w:rPr>
            </w:pPr>
          </w:p>
          <w:p w14:paraId="7EA71DA7" w14:textId="77777777" w:rsidR="0095690D" w:rsidRPr="000B2B5E" w:rsidRDefault="0095690D" w:rsidP="0075705D">
            <w:pPr>
              <w:numPr>
                <w:ilvl w:val="0"/>
                <w:numId w:val="44"/>
              </w:numPr>
              <w:ind w:left="494"/>
              <w:rPr>
                <w:rFonts w:cs="Arial"/>
                <w:b/>
                <w:color w:val="000000"/>
                <w:sz w:val="22"/>
                <w:szCs w:val="22"/>
                <w:lang w:val="es-CO"/>
              </w:rPr>
            </w:pPr>
            <w:r w:rsidRPr="000B2B5E">
              <w:rPr>
                <w:rFonts w:cs="Arial"/>
                <w:b/>
                <w:color w:val="000000"/>
                <w:sz w:val="22"/>
                <w:szCs w:val="22"/>
                <w:lang w:val="es-CO"/>
              </w:rPr>
              <w:t>ANTECEDENTES Y RAZONES DE OPORTUNIDAD Y CONVENIENCIA QUE JUSTIFICAN SU EXPEDICIÓN.</w:t>
            </w:r>
          </w:p>
          <w:p w14:paraId="6C299B2F" w14:textId="6A7F0E14" w:rsidR="00795C6B" w:rsidRPr="000B2B5E" w:rsidRDefault="00795C6B" w:rsidP="0075705D">
            <w:pPr>
              <w:pStyle w:val="ColorfulList-Accent11"/>
              <w:spacing w:line="240" w:lineRule="auto"/>
              <w:ind w:left="494"/>
              <w:jc w:val="both"/>
              <w:rPr>
                <w:rFonts w:ascii="Arial" w:hAnsi="Arial" w:cs="Arial"/>
                <w:i/>
                <w:color w:val="808080"/>
              </w:rPr>
            </w:pPr>
          </w:p>
          <w:p w14:paraId="2F80B852" w14:textId="2148D220" w:rsidR="00862AD4" w:rsidRPr="000B2B5E" w:rsidRDefault="00862AD4" w:rsidP="00862AD4">
            <w:pPr>
              <w:jc w:val="both"/>
              <w:rPr>
                <w:rFonts w:cs="Arial"/>
                <w:sz w:val="22"/>
                <w:szCs w:val="22"/>
              </w:rPr>
            </w:pPr>
            <w:r w:rsidRPr="000B2B5E">
              <w:rPr>
                <w:rFonts w:cs="Arial"/>
                <w:sz w:val="22"/>
                <w:szCs w:val="22"/>
              </w:rPr>
              <w:t>El artículo 23 de la Declaración Universal de los Derechos Humanos, proclamada por la Asamblea General de las Naciones Unidas en 1948</w:t>
            </w:r>
            <w:r w:rsidR="00F87CCB" w:rsidRPr="000B2B5E">
              <w:rPr>
                <w:rFonts w:cs="Arial"/>
                <w:sz w:val="22"/>
                <w:szCs w:val="22"/>
              </w:rPr>
              <w:t xml:space="preserve"> señala: </w:t>
            </w:r>
            <w:r w:rsidRPr="000B2B5E">
              <w:rPr>
                <w:rFonts w:cs="Arial"/>
                <w:sz w:val="22"/>
                <w:szCs w:val="22"/>
              </w:rPr>
              <w:t>“</w:t>
            </w:r>
            <w:r w:rsidRPr="000B2B5E">
              <w:rPr>
                <w:rFonts w:cs="Arial"/>
                <w:i/>
                <w:sz w:val="22"/>
                <w:szCs w:val="22"/>
              </w:rPr>
              <w:t>1. Toda persona tiene derecho al trabajo, a la libre elección de su trabajo, a condiciones equitativas y satisfactorias de trabajo y a la protección contra el desempleo. 2. Toda persona tiene derecho, sin discriminación alguna, a igual salario por trabajo igual</w:t>
            </w:r>
            <w:r w:rsidRPr="000B2B5E">
              <w:rPr>
                <w:rFonts w:cs="Arial"/>
                <w:sz w:val="22"/>
                <w:szCs w:val="22"/>
              </w:rPr>
              <w:t xml:space="preserve">”. </w:t>
            </w:r>
          </w:p>
          <w:p w14:paraId="782BE359" w14:textId="77777777" w:rsidR="00862AD4" w:rsidRPr="000B2B5E" w:rsidRDefault="00862AD4" w:rsidP="00862AD4">
            <w:pPr>
              <w:jc w:val="both"/>
              <w:rPr>
                <w:rFonts w:cs="Arial"/>
                <w:sz w:val="22"/>
                <w:szCs w:val="22"/>
              </w:rPr>
            </w:pPr>
          </w:p>
          <w:p w14:paraId="46BDCB10" w14:textId="4B2BF201" w:rsidR="00862AD4" w:rsidRPr="000B2B5E" w:rsidRDefault="00862AD4" w:rsidP="00862AD4">
            <w:pPr>
              <w:jc w:val="both"/>
              <w:rPr>
                <w:rFonts w:cs="Arial"/>
                <w:sz w:val="22"/>
                <w:szCs w:val="22"/>
              </w:rPr>
            </w:pPr>
            <w:r w:rsidRPr="000B2B5E">
              <w:rPr>
                <w:rFonts w:cs="Arial"/>
                <w:sz w:val="22"/>
                <w:szCs w:val="22"/>
              </w:rPr>
              <w:t xml:space="preserve">El Pacto Internacional de Derechos Civiles y Políticos (PIDCP) en su artículo 8 prohíbe la esclavitud, la servidumbre o el trabajo forzoso u obligatorio; y, en el artículo 22 reconoce el derecho de asociación el cual solo puede ser restringido por “disposiciones previstas por ley que sean necesarias en una sociedad democrática, en interés de la seguridad nacional, de la seguridad pública o del orden público, o para proteger la salud o la moral pública o los derechos y libertades de los demás”. </w:t>
            </w:r>
          </w:p>
          <w:p w14:paraId="7A23F6B5" w14:textId="77777777" w:rsidR="00862AD4" w:rsidRPr="000B2B5E" w:rsidRDefault="00862AD4" w:rsidP="00862AD4">
            <w:pPr>
              <w:jc w:val="both"/>
              <w:rPr>
                <w:rFonts w:cs="Arial"/>
                <w:sz w:val="22"/>
                <w:szCs w:val="22"/>
              </w:rPr>
            </w:pPr>
          </w:p>
          <w:p w14:paraId="50BC6C0C" w14:textId="2C533E9D" w:rsidR="00862AD4" w:rsidRPr="000B2B5E" w:rsidRDefault="00862AD4" w:rsidP="00862AD4">
            <w:pPr>
              <w:jc w:val="both"/>
              <w:rPr>
                <w:rFonts w:cs="Arial"/>
                <w:sz w:val="22"/>
                <w:szCs w:val="22"/>
              </w:rPr>
            </w:pPr>
            <w:r w:rsidRPr="000B2B5E">
              <w:rPr>
                <w:rFonts w:cs="Arial"/>
                <w:sz w:val="22"/>
                <w:szCs w:val="22"/>
              </w:rPr>
              <w:t>El Pacto Internacional de Derechos Económicos Sociales y Culturales (PIDESC), en su artículo 6 reconoce el derecho de toda persona a trabajar y se refiere a la necesidad de adoptar medidas de formación técnica y profesional tendientes a asegurar la ocupación plena y productiva. El artículo 7 del Pacto hace alusión al derecho a condiciones dignas y satisfactorias en el trabajo: remuneración digna, seguridad e higiene en el trabajo, igual oportunidad de promoción en el trabajo y descanso; y, el artículo 9 reconoce el derecho de toda persona a la seguridad social.</w:t>
            </w:r>
          </w:p>
          <w:p w14:paraId="6789F095" w14:textId="77777777" w:rsidR="00862AD4" w:rsidRPr="000B2B5E" w:rsidRDefault="00862AD4" w:rsidP="00862AD4">
            <w:pPr>
              <w:jc w:val="both"/>
              <w:rPr>
                <w:rFonts w:cs="Arial"/>
                <w:sz w:val="22"/>
                <w:szCs w:val="22"/>
              </w:rPr>
            </w:pPr>
          </w:p>
          <w:p w14:paraId="31DF775F" w14:textId="40A9923B" w:rsidR="00862AD4" w:rsidRPr="000B2B5E" w:rsidRDefault="00862AD4" w:rsidP="00862AD4">
            <w:pPr>
              <w:jc w:val="both"/>
              <w:rPr>
                <w:rFonts w:cs="Arial"/>
                <w:sz w:val="22"/>
                <w:szCs w:val="22"/>
              </w:rPr>
            </w:pPr>
            <w:r w:rsidRPr="000B2B5E">
              <w:rPr>
                <w:rFonts w:cs="Arial"/>
                <w:sz w:val="22"/>
                <w:szCs w:val="22"/>
              </w:rPr>
              <w:t>La Declaración ONU sobre Derechos de los Campesinos y otras personas que trabajan en zonas rurales</w:t>
            </w:r>
            <w:r w:rsidRPr="000B2B5E">
              <w:rPr>
                <w:rFonts w:cs="Arial"/>
                <w:i/>
                <w:sz w:val="22"/>
                <w:szCs w:val="22"/>
              </w:rPr>
              <w:t>,</w:t>
            </w:r>
            <w:r w:rsidRPr="000B2B5E">
              <w:rPr>
                <w:rFonts w:cs="Arial"/>
                <w:sz w:val="22"/>
                <w:szCs w:val="22"/>
              </w:rPr>
              <w:t xml:space="preserve"> en su artículo 2º, con relación al deber de igualdad en condiciones y derechos entre hombre y mujeres, indica que: “</w:t>
            </w:r>
            <w:r w:rsidRPr="000B2B5E">
              <w:rPr>
                <w:rFonts w:cs="Arial"/>
                <w:i/>
                <w:iCs/>
                <w:sz w:val="22"/>
                <w:szCs w:val="22"/>
              </w:rPr>
              <w:t>Acogerse directamente a los programas de seguridad social”</w:t>
            </w:r>
            <w:r w:rsidRPr="000B2B5E">
              <w:rPr>
                <w:rFonts w:cs="Arial"/>
                <w:sz w:val="22"/>
                <w:szCs w:val="22"/>
              </w:rPr>
              <w:t xml:space="preserve"> así como a </w:t>
            </w:r>
            <w:r w:rsidRPr="000B2B5E">
              <w:rPr>
                <w:rFonts w:cs="Arial"/>
                <w:i/>
                <w:iCs/>
                <w:sz w:val="22"/>
                <w:szCs w:val="22"/>
              </w:rPr>
              <w:t xml:space="preserve">“Tener un empleo decente, gozar de igualdad de remuneración y acogerse a las prestaciones sociales, y acceder a actividades generadoras de ingresos”. </w:t>
            </w:r>
            <w:r w:rsidRPr="000B2B5E">
              <w:rPr>
                <w:rFonts w:cs="Arial"/>
                <w:sz w:val="22"/>
                <w:szCs w:val="22"/>
              </w:rPr>
              <w:t xml:space="preserve">Asimismo, los artículos 4 y 23, obliga a los Estados en la adopción de medidas conducentes a </w:t>
            </w:r>
            <w:r w:rsidRPr="000B2B5E">
              <w:rPr>
                <w:rFonts w:cs="Arial"/>
                <w:i/>
                <w:sz w:val="22"/>
                <w:szCs w:val="22"/>
              </w:rPr>
              <w:t xml:space="preserve">“...erradicar todas las formas de discriminación de las campesinas y otras mujeres que trabajan en las zonas rurales…”, </w:t>
            </w:r>
            <w:r w:rsidRPr="000B2B5E">
              <w:rPr>
                <w:rFonts w:cs="Arial"/>
                <w:sz w:val="22"/>
                <w:szCs w:val="22"/>
              </w:rPr>
              <w:t xml:space="preserve">y a supervisar el correcto cumplimiento de los derechos laborales en las zonas rurales, asignando los recursos económicos, humanos y metodológicos necesarios para ello. </w:t>
            </w:r>
          </w:p>
          <w:p w14:paraId="64F338EC" w14:textId="77777777" w:rsidR="00862AD4" w:rsidRPr="000B2B5E" w:rsidRDefault="00862AD4" w:rsidP="00862AD4">
            <w:pPr>
              <w:jc w:val="both"/>
              <w:rPr>
                <w:rFonts w:cs="Arial"/>
                <w:sz w:val="22"/>
                <w:szCs w:val="22"/>
              </w:rPr>
            </w:pPr>
          </w:p>
          <w:p w14:paraId="61DBA587" w14:textId="6A7E4227" w:rsidR="00862AD4" w:rsidRPr="000B2B5E" w:rsidRDefault="00862AD4" w:rsidP="00862AD4">
            <w:pPr>
              <w:jc w:val="both"/>
              <w:rPr>
                <w:rFonts w:eastAsia="Times" w:cs="Arial"/>
                <w:color w:val="000000" w:themeColor="text1"/>
                <w:sz w:val="22"/>
                <w:szCs w:val="22"/>
              </w:rPr>
            </w:pPr>
            <w:r w:rsidRPr="000B2B5E">
              <w:rPr>
                <w:rFonts w:cs="Arial"/>
                <w:sz w:val="22"/>
                <w:szCs w:val="22"/>
              </w:rPr>
              <w:t>El artículo 13 de la Declaración ONU sobre Derechos de los Campesinos y otras personas que trabajan en zonas rurales, deja en la voluntad del sujeto campesino, la posibilidad de elegir libremente de donde devengar su sustento, estando protegido de toda labor que les genere riesgos y/o pueda ser peligroso: nocivo para la salud, a su educación o desarrollo físico, mental, espiritual, moral o social, sin ser constreñido al trabajo forzoso en condiciones de servidumbre u obligatorio, adoptando para ello de manera concertada con los trabajadores y sus organizaciones y/o asociaciones medidas que propenda por la protección de todo tipo de explotación a todos en igualdad de condiciones.</w:t>
            </w:r>
          </w:p>
          <w:p w14:paraId="426A062F" w14:textId="77777777" w:rsidR="00862AD4" w:rsidRPr="000B2B5E" w:rsidRDefault="00862AD4" w:rsidP="00862AD4">
            <w:pPr>
              <w:jc w:val="both"/>
              <w:rPr>
                <w:rFonts w:eastAsia="Times" w:cs="Arial"/>
                <w:color w:val="000000" w:themeColor="text1"/>
                <w:sz w:val="22"/>
                <w:szCs w:val="22"/>
              </w:rPr>
            </w:pPr>
          </w:p>
          <w:p w14:paraId="787C0041" w14:textId="51373237" w:rsidR="00862AD4" w:rsidRPr="000B2B5E" w:rsidRDefault="00862AD4" w:rsidP="00862AD4">
            <w:pPr>
              <w:jc w:val="both"/>
              <w:rPr>
                <w:rFonts w:cs="Arial"/>
                <w:sz w:val="22"/>
                <w:szCs w:val="22"/>
              </w:rPr>
            </w:pPr>
            <w:r w:rsidRPr="000B2B5E">
              <w:rPr>
                <w:rFonts w:cs="Arial"/>
                <w:sz w:val="22"/>
                <w:szCs w:val="22"/>
              </w:rPr>
              <w:t xml:space="preserve">El artículo 20 del Convenio sobre los Pueblos Indígenas y Tribales No. 169 de la OIT de 1989, </w:t>
            </w:r>
            <w:r w:rsidR="005003A1" w:rsidRPr="000B2B5E">
              <w:rPr>
                <w:rFonts w:cs="Arial"/>
                <w:sz w:val="22"/>
                <w:szCs w:val="22"/>
              </w:rPr>
              <w:t xml:space="preserve">señala que </w:t>
            </w:r>
            <w:r w:rsidRPr="000B2B5E">
              <w:rPr>
                <w:rFonts w:cs="Arial"/>
                <w:sz w:val="22"/>
                <w:szCs w:val="22"/>
              </w:rPr>
              <w:t xml:space="preserve">deben respetarse las tradiciones culturales y ancestrales de </w:t>
            </w:r>
            <w:proofErr w:type="gramStart"/>
            <w:r w:rsidRPr="000B2B5E">
              <w:rPr>
                <w:rFonts w:cs="Arial"/>
                <w:sz w:val="22"/>
                <w:szCs w:val="22"/>
              </w:rPr>
              <w:t>los trabajadores y trabajadoras</w:t>
            </w:r>
            <w:proofErr w:type="gramEnd"/>
            <w:r w:rsidRPr="000B2B5E">
              <w:rPr>
                <w:rFonts w:cs="Arial"/>
                <w:sz w:val="22"/>
                <w:szCs w:val="22"/>
              </w:rPr>
              <w:t xml:space="preserve"> que hacen parte de los pueblos étnicos.</w:t>
            </w:r>
          </w:p>
          <w:p w14:paraId="4822ACE2" w14:textId="77777777" w:rsidR="00862AD4" w:rsidRPr="000B2B5E" w:rsidRDefault="00862AD4" w:rsidP="00862AD4">
            <w:pPr>
              <w:jc w:val="both"/>
              <w:rPr>
                <w:rFonts w:cs="Arial"/>
                <w:sz w:val="22"/>
                <w:szCs w:val="22"/>
              </w:rPr>
            </w:pPr>
          </w:p>
          <w:p w14:paraId="754F29E6" w14:textId="3B49FDFB" w:rsidR="00862AD4" w:rsidRPr="000B2B5E" w:rsidRDefault="00862AD4" w:rsidP="00862AD4">
            <w:pPr>
              <w:spacing w:after="160" w:line="257" w:lineRule="auto"/>
              <w:jc w:val="both"/>
              <w:rPr>
                <w:rFonts w:cs="Arial"/>
                <w:color w:val="000000" w:themeColor="text1"/>
                <w:sz w:val="22"/>
                <w:szCs w:val="22"/>
              </w:rPr>
            </w:pPr>
            <w:r w:rsidRPr="000B2B5E">
              <w:rPr>
                <w:rFonts w:cs="Arial"/>
                <w:color w:val="000000" w:themeColor="text1"/>
                <w:sz w:val="22"/>
                <w:szCs w:val="22"/>
              </w:rPr>
              <w:lastRenderedPageBreak/>
              <w:t xml:space="preserve">La Organización Internacional del Trabajo (OIT) ha adoptado varios convenios relacionados con el trabajo decente entre los que se encuentran: El Convenio sobre la libertad sindical y la protección del derecho de sindicación (Convenio 87); el Convenio sobre el derecho de sindicación y de negociación colectiva (Convenio 98); el Convenio sobre la abolición del trabajo forzoso (Convenio 29) que prohíbe el trabajo forzoso </w:t>
            </w:r>
            <w:r w:rsidR="00BF21D4" w:rsidRPr="000B2B5E">
              <w:rPr>
                <w:rFonts w:cs="Arial"/>
                <w:color w:val="000000" w:themeColor="text1"/>
                <w:sz w:val="22"/>
                <w:szCs w:val="22"/>
              </w:rPr>
              <w:t xml:space="preserve">y </w:t>
            </w:r>
            <w:r w:rsidRPr="000B2B5E">
              <w:rPr>
                <w:rFonts w:cs="Arial"/>
                <w:color w:val="000000" w:themeColor="text1"/>
                <w:sz w:val="22"/>
                <w:szCs w:val="22"/>
              </w:rPr>
              <w:t>obligatorio en todas sus formas, incluyendo la trata de personas, la esclavitud y la servidumbre por deudas; el Convenio sobre la edad mínima de admisión al empleo (Convenio138); el Convenio sobre las peores formas de trabajo infantil (Convenio 182); el Convenio sobre el trabajo decente para las trabajadoras y los trabajadores domésticos (Convenio189) que busca garantizar la igualdad de trato y de oportunidades para las trabajadoras domésticas y el Convenio 190 sobre la violencia y el acoso en el mundo del trabajo.</w:t>
            </w:r>
          </w:p>
          <w:p w14:paraId="7907478D" w14:textId="1682AB29" w:rsidR="00862AD4" w:rsidRPr="000B2B5E" w:rsidRDefault="00862AD4" w:rsidP="00862AD4">
            <w:pPr>
              <w:spacing w:after="160" w:line="257" w:lineRule="auto"/>
              <w:jc w:val="both"/>
              <w:rPr>
                <w:rFonts w:cs="Arial"/>
                <w:color w:val="000000" w:themeColor="text1"/>
                <w:sz w:val="22"/>
                <w:szCs w:val="22"/>
              </w:rPr>
            </w:pPr>
            <w:r w:rsidRPr="000B2B5E">
              <w:rPr>
                <w:rFonts w:cs="Arial"/>
                <w:color w:val="000000" w:themeColor="text1"/>
                <w:sz w:val="22"/>
                <w:szCs w:val="22"/>
              </w:rPr>
              <w:t>Colombia ratificó, entre otros, el Convenio 100 sobre igualdad de remuneración de 1951, que conmina a los Estados miembros entre otras demandas, a la garantía de un salario justo por el trabajo desempeñado, a la fijación gradual del mismo, y a igualdad de ingresos entre hombres y mujeres.</w:t>
            </w:r>
          </w:p>
          <w:p w14:paraId="2750D4C0" w14:textId="69799307" w:rsidR="00862AD4" w:rsidRPr="000B2B5E" w:rsidRDefault="00862AD4" w:rsidP="00862AD4">
            <w:pPr>
              <w:spacing w:after="160" w:line="257" w:lineRule="auto"/>
              <w:jc w:val="both"/>
              <w:rPr>
                <w:rFonts w:cs="Arial"/>
                <w:sz w:val="22"/>
                <w:szCs w:val="22"/>
              </w:rPr>
            </w:pPr>
            <w:r w:rsidRPr="000B2B5E">
              <w:rPr>
                <w:rFonts w:cs="Arial"/>
                <w:color w:val="000000" w:themeColor="text1"/>
                <w:sz w:val="22"/>
                <w:szCs w:val="22"/>
              </w:rPr>
              <w:t>El Convenio 111 sobre la discriminación en el empleo y la ocupación de 1958, en su artículo 2, obliga que t</w:t>
            </w:r>
            <w:r w:rsidRPr="000B2B5E">
              <w:rPr>
                <w:rFonts w:cs="Arial"/>
                <w:sz w:val="22"/>
                <w:szCs w:val="22"/>
              </w:rPr>
              <w:t>odo Miembro para el cual este Convenio se halle en vigor se obliga a formular y llevar a cabo una política nacional que promueva, por métodos adecuados a las condiciones y a la práctica nacionales, la igualdad de oportunidades y de trato en materia de empleo y ocupación, con objeto de eliminar cualquier discriminación a este respecto.</w:t>
            </w:r>
          </w:p>
          <w:p w14:paraId="62FE8C36" w14:textId="3A96DD69" w:rsidR="00862AD4" w:rsidRPr="000B2B5E" w:rsidRDefault="00862AD4" w:rsidP="00862AD4">
            <w:pPr>
              <w:spacing w:after="160" w:line="257" w:lineRule="auto"/>
              <w:jc w:val="both"/>
              <w:rPr>
                <w:rFonts w:cs="Arial"/>
                <w:sz w:val="22"/>
                <w:szCs w:val="22"/>
              </w:rPr>
            </w:pPr>
            <w:r w:rsidRPr="000B2B5E">
              <w:rPr>
                <w:rFonts w:cs="Arial"/>
                <w:sz w:val="22"/>
                <w:szCs w:val="22"/>
              </w:rPr>
              <w:t xml:space="preserve">El artículo 11 de la </w:t>
            </w:r>
            <w:r w:rsidRPr="000B2B5E">
              <w:rPr>
                <w:rFonts w:cs="Arial"/>
                <w:color w:val="000000" w:themeColor="text1"/>
                <w:sz w:val="22"/>
                <w:szCs w:val="22"/>
              </w:rPr>
              <w:t xml:space="preserve">Convención </w:t>
            </w:r>
            <w:r w:rsidR="00BF21D4" w:rsidRPr="000B2B5E">
              <w:rPr>
                <w:rFonts w:cs="Arial"/>
                <w:color w:val="000000" w:themeColor="text1"/>
                <w:sz w:val="22"/>
                <w:szCs w:val="22"/>
              </w:rPr>
              <w:t xml:space="preserve">se refiere a la </w:t>
            </w:r>
            <w:r w:rsidRPr="000B2B5E">
              <w:rPr>
                <w:rFonts w:cs="Arial"/>
                <w:color w:val="000000" w:themeColor="text1"/>
                <w:sz w:val="22"/>
                <w:szCs w:val="22"/>
              </w:rPr>
              <w:t xml:space="preserve">eliminación de todas las formas de discriminación contra la mujer, ratificada por Colombia mediante la Ley 051 de 1981, </w:t>
            </w:r>
            <w:r w:rsidR="001D1E75" w:rsidRPr="000B2B5E">
              <w:rPr>
                <w:rFonts w:cs="Arial"/>
                <w:color w:val="000000" w:themeColor="text1"/>
                <w:sz w:val="22"/>
                <w:szCs w:val="22"/>
              </w:rPr>
              <w:t xml:space="preserve">e indica que </w:t>
            </w:r>
            <w:r w:rsidRPr="000B2B5E">
              <w:rPr>
                <w:rFonts w:cs="Arial"/>
                <w:color w:val="000000" w:themeColor="text1"/>
                <w:sz w:val="22"/>
                <w:szCs w:val="22"/>
              </w:rPr>
              <w:t>los E</w:t>
            </w:r>
            <w:r w:rsidRPr="000B2B5E">
              <w:rPr>
                <w:rFonts w:cs="Arial"/>
                <w:sz w:val="22"/>
                <w:szCs w:val="22"/>
              </w:rPr>
              <w:t>stados están en la obligación de adoptar todas las medidas apropiadas para eliminar la discriminación contra la mujer en la esfera del empleo a fin de asegurar a la mujer, en condiciones de igualdad con los hombres.</w:t>
            </w:r>
          </w:p>
          <w:p w14:paraId="5A55D1E0" w14:textId="251A5793" w:rsidR="00862AD4" w:rsidRPr="000B2B5E" w:rsidRDefault="00862AD4" w:rsidP="00862AD4">
            <w:pPr>
              <w:jc w:val="both"/>
              <w:rPr>
                <w:rFonts w:cs="Arial"/>
                <w:sz w:val="22"/>
                <w:szCs w:val="22"/>
              </w:rPr>
            </w:pPr>
            <w:r w:rsidRPr="000B2B5E">
              <w:rPr>
                <w:rFonts w:cs="Arial"/>
                <w:sz w:val="22"/>
                <w:szCs w:val="22"/>
              </w:rPr>
              <w:t xml:space="preserve">La Declaración Americana de los Derechos y Deberes del Hombre en su artículo XIV establece que </w:t>
            </w:r>
            <w:r w:rsidRPr="000B2B5E">
              <w:rPr>
                <w:rFonts w:cs="Arial"/>
                <w:i/>
                <w:sz w:val="22"/>
                <w:szCs w:val="22"/>
              </w:rPr>
              <w:t>“toda persona que trabaja tiene derecho de recibir una remuneración que, en relación con su capacidad y destreza le asegure un nivel de vida conveniente para sí misma y su familia</w:t>
            </w:r>
            <w:r w:rsidRPr="000B2B5E">
              <w:rPr>
                <w:rFonts w:cs="Arial"/>
                <w:i/>
                <w:iCs/>
                <w:sz w:val="22"/>
                <w:szCs w:val="22"/>
              </w:rPr>
              <w:t>”</w:t>
            </w:r>
            <w:r w:rsidRPr="000B2B5E">
              <w:rPr>
                <w:rFonts w:cs="Arial"/>
                <w:sz w:val="22"/>
                <w:szCs w:val="22"/>
              </w:rPr>
              <w:t xml:space="preserve">; el artículo XV reconoce que </w:t>
            </w:r>
            <w:r w:rsidRPr="000B2B5E">
              <w:rPr>
                <w:rFonts w:cs="Arial"/>
                <w:i/>
                <w:sz w:val="22"/>
                <w:szCs w:val="22"/>
              </w:rPr>
              <w:t>“toda persona tiene derecho a descanso, a honesta recreación y a la oportunidad de emplear el tiempo libre en beneficio de su mejoramiento espiritual, cultural y físico</w:t>
            </w:r>
            <w:r w:rsidRPr="000B2B5E">
              <w:rPr>
                <w:rFonts w:cs="Arial"/>
                <w:i/>
                <w:iCs/>
                <w:sz w:val="22"/>
                <w:szCs w:val="22"/>
              </w:rPr>
              <w:t>”</w:t>
            </w:r>
            <w:r w:rsidRPr="000B2B5E">
              <w:rPr>
                <w:rFonts w:cs="Arial"/>
                <w:sz w:val="22"/>
                <w:szCs w:val="22"/>
              </w:rPr>
              <w:t xml:space="preserve">; y, el artículo XXII consagra que </w:t>
            </w:r>
            <w:r w:rsidRPr="000B2B5E">
              <w:rPr>
                <w:rFonts w:cs="Arial"/>
                <w:i/>
                <w:sz w:val="22"/>
                <w:szCs w:val="22"/>
              </w:rPr>
              <w:t>“toda persona tiene el derecho de asociarse con otras para promover, ejercer y proteger sus intereses legítimos de orden político, económico, religioso, cultural, profesional, sindical o de cualquier otro orden”</w:t>
            </w:r>
            <w:r w:rsidRPr="000B2B5E">
              <w:rPr>
                <w:rFonts w:cs="Arial"/>
                <w:sz w:val="22"/>
                <w:szCs w:val="22"/>
              </w:rPr>
              <w:t xml:space="preserve">. </w:t>
            </w:r>
          </w:p>
          <w:p w14:paraId="29616B8C" w14:textId="77777777" w:rsidR="00862AD4" w:rsidRPr="000B2B5E" w:rsidRDefault="00862AD4" w:rsidP="00862AD4">
            <w:pPr>
              <w:jc w:val="both"/>
              <w:rPr>
                <w:rFonts w:cs="Arial"/>
                <w:sz w:val="22"/>
                <w:szCs w:val="22"/>
              </w:rPr>
            </w:pPr>
          </w:p>
          <w:p w14:paraId="1967A64A" w14:textId="57B05D06" w:rsidR="00862AD4" w:rsidRPr="000B2B5E" w:rsidRDefault="00862AD4" w:rsidP="00862AD4">
            <w:pPr>
              <w:jc w:val="both"/>
              <w:rPr>
                <w:rFonts w:cs="Arial"/>
                <w:sz w:val="22"/>
                <w:szCs w:val="22"/>
              </w:rPr>
            </w:pPr>
            <w:r w:rsidRPr="000B2B5E">
              <w:rPr>
                <w:rFonts w:cs="Arial"/>
                <w:sz w:val="22"/>
                <w:szCs w:val="22"/>
              </w:rPr>
              <w:t>La Convención Americana sobre Derechos Humanos, o Pacto de San José de Costa Rica, prohíbe en su artículo 6 la esclavitud o servidumbre; y, en su artículo 16 reconoce el derecho de asociación y la posibilidad de limitarlo solo en virtud de las mismas causales que reconoce el PIDCP.</w:t>
            </w:r>
          </w:p>
          <w:p w14:paraId="386322D9" w14:textId="77777777" w:rsidR="00862AD4" w:rsidRPr="000B2B5E" w:rsidRDefault="00862AD4" w:rsidP="00862AD4">
            <w:pPr>
              <w:rPr>
                <w:rFonts w:cs="Arial"/>
                <w:sz w:val="22"/>
                <w:szCs w:val="22"/>
              </w:rPr>
            </w:pPr>
          </w:p>
          <w:p w14:paraId="4E3CC0FD" w14:textId="55696048" w:rsidR="00862AD4" w:rsidRPr="000B2B5E" w:rsidRDefault="00862AD4" w:rsidP="00862AD4">
            <w:pPr>
              <w:jc w:val="both"/>
              <w:rPr>
                <w:rFonts w:cs="Arial"/>
                <w:sz w:val="22"/>
                <w:szCs w:val="22"/>
              </w:rPr>
            </w:pPr>
            <w:r w:rsidRPr="000B2B5E">
              <w:rPr>
                <w:rFonts w:cs="Arial"/>
                <w:sz w:val="22"/>
                <w:szCs w:val="22"/>
              </w:rPr>
              <w:t>La Carta de la Organización de Estados Americanos en su artículo 45 consigna el derecho de asociación de trabajadores y empleadores, incluyendo el derecho de negociación colectiva y el de huelga por parte de los trabajadores, el reconocimiento de la personería jurídica de sus asociaciones y la protección de su libertad e independencia.</w:t>
            </w:r>
          </w:p>
          <w:p w14:paraId="0BC481CE" w14:textId="77777777" w:rsidR="00862AD4" w:rsidRPr="000B2B5E" w:rsidRDefault="00862AD4" w:rsidP="00862AD4">
            <w:pPr>
              <w:jc w:val="both"/>
              <w:rPr>
                <w:rFonts w:cs="Arial"/>
                <w:sz w:val="22"/>
                <w:szCs w:val="22"/>
              </w:rPr>
            </w:pPr>
          </w:p>
          <w:p w14:paraId="0CB471CA" w14:textId="7585FB38" w:rsidR="00862AD4" w:rsidRPr="000B2B5E" w:rsidRDefault="003E58F7" w:rsidP="00862AD4">
            <w:pPr>
              <w:jc w:val="both"/>
              <w:rPr>
                <w:rFonts w:cs="Arial"/>
                <w:sz w:val="22"/>
                <w:szCs w:val="22"/>
              </w:rPr>
            </w:pPr>
            <w:r w:rsidRPr="000B2B5E">
              <w:rPr>
                <w:rFonts w:cs="Arial"/>
                <w:sz w:val="22"/>
                <w:szCs w:val="22"/>
              </w:rPr>
              <w:t>El artículo</w:t>
            </w:r>
            <w:r w:rsidR="00862AD4" w:rsidRPr="000B2B5E">
              <w:rPr>
                <w:rFonts w:cs="Arial"/>
                <w:sz w:val="22"/>
                <w:szCs w:val="22"/>
              </w:rPr>
              <w:t xml:space="preserve"> 2, literal b) de la </w:t>
            </w:r>
            <w:r w:rsidR="00862AD4" w:rsidRPr="000B2B5E">
              <w:rPr>
                <w:rFonts w:cs="Arial"/>
                <w:color w:val="000000" w:themeColor="text1"/>
                <w:sz w:val="22"/>
                <w:szCs w:val="22"/>
              </w:rPr>
              <w:t xml:space="preserve">Convención </w:t>
            </w:r>
            <w:r w:rsidR="0049769E" w:rsidRPr="000B2B5E">
              <w:rPr>
                <w:rFonts w:cs="Arial"/>
                <w:color w:val="000000" w:themeColor="text1"/>
                <w:sz w:val="22"/>
                <w:szCs w:val="22"/>
              </w:rPr>
              <w:t>I</w:t>
            </w:r>
            <w:r w:rsidR="00862AD4" w:rsidRPr="000B2B5E">
              <w:rPr>
                <w:rFonts w:cs="Arial"/>
                <w:color w:val="000000" w:themeColor="text1"/>
                <w:sz w:val="22"/>
                <w:szCs w:val="22"/>
              </w:rPr>
              <w:t xml:space="preserve">nteramericana </w:t>
            </w:r>
            <w:r w:rsidR="00DD6795" w:rsidRPr="000B2B5E">
              <w:rPr>
                <w:rFonts w:cs="Arial"/>
                <w:color w:val="000000" w:themeColor="text1"/>
                <w:sz w:val="22"/>
                <w:szCs w:val="22"/>
              </w:rPr>
              <w:t>previene</w:t>
            </w:r>
            <w:r w:rsidR="00862AD4" w:rsidRPr="000B2B5E">
              <w:rPr>
                <w:rFonts w:cs="Arial"/>
                <w:color w:val="000000" w:themeColor="text1"/>
                <w:sz w:val="22"/>
                <w:szCs w:val="22"/>
              </w:rPr>
              <w:t xml:space="preserve">, </w:t>
            </w:r>
            <w:r w:rsidR="00DD6795" w:rsidRPr="000B2B5E">
              <w:rPr>
                <w:rFonts w:cs="Arial"/>
                <w:color w:val="000000" w:themeColor="text1"/>
                <w:sz w:val="22"/>
                <w:szCs w:val="22"/>
              </w:rPr>
              <w:t xml:space="preserve">sanciona y </w:t>
            </w:r>
            <w:r w:rsidR="00862AD4" w:rsidRPr="000B2B5E">
              <w:rPr>
                <w:rFonts w:cs="Arial"/>
                <w:color w:val="000000" w:themeColor="text1"/>
                <w:sz w:val="22"/>
                <w:szCs w:val="22"/>
              </w:rPr>
              <w:t>erradica la viol</w:t>
            </w:r>
            <w:r w:rsidR="00862AD4" w:rsidRPr="000B2B5E">
              <w:rPr>
                <w:rFonts w:cs="Arial"/>
                <w:sz w:val="22"/>
                <w:szCs w:val="22"/>
              </w:rPr>
              <w:t>encia contra la mujer, incorporada al ordenamiento colombiano mediante la Ley 248 de 1995,</w:t>
            </w:r>
            <w:r w:rsidR="00DD6795" w:rsidRPr="000B2B5E">
              <w:rPr>
                <w:rFonts w:cs="Arial"/>
                <w:sz w:val="22"/>
                <w:szCs w:val="22"/>
              </w:rPr>
              <w:t xml:space="preserve"> entendiéndose que </w:t>
            </w:r>
            <w:r w:rsidR="00862AD4" w:rsidRPr="000B2B5E">
              <w:rPr>
                <w:rFonts w:cs="Arial"/>
                <w:sz w:val="22"/>
                <w:szCs w:val="22"/>
              </w:rPr>
              <w:t>violencia contra la mujer incluye la violencia física, sexual y psicológica que tenga lugar en el trabajo.</w:t>
            </w:r>
          </w:p>
          <w:p w14:paraId="017DFD79" w14:textId="77777777" w:rsidR="00862AD4" w:rsidRPr="000B2B5E" w:rsidRDefault="00862AD4" w:rsidP="00862AD4">
            <w:pPr>
              <w:jc w:val="both"/>
              <w:rPr>
                <w:rFonts w:cs="Arial"/>
                <w:sz w:val="22"/>
                <w:szCs w:val="22"/>
              </w:rPr>
            </w:pPr>
          </w:p>
          <w:p w14:paraId="5971A914" w14:textId="344C4FC1" w:rsidR="00862AD4" w:rsidRPr="000B2B5E" w:rsidRDefault="00862AD4" w:rsidP="00862AD4">
            <w:pPr>
              <w:jc w:val="both"/>
              <w:rPr>
                <w:rFonts w:cs="Arial"/>
                <w:sz w:val="22"/>
                <w:szCs w:val="22"/>
              </w:rPr>
            </w:pPr>
            <w:r w:rsidRPr="000B2B5E">
              <w:rPr>
                <w:rFonts w:cs="Arial"/>
                <w:sz w:val="22"/>
                <w:szCs w:val="22"/>
              </w:rPr>
              <w:t xml:space="preserve">El Comité de Derechos Económicos, Sociales y Culturales de la ONU (CESCR) emitió en el 2005 la Observación General No. 182, en la cual se aclaran las obligaciones de los estados en torno al derecho al trabajo en su artículo 19, siendo una obligación de los estados parte la realización progresiva del ejercicio del derecho al trabajo. </w:t>
            </w:r>
          </w:p>
          <w:p w14:paraId="78703EDA" w14:textId="77777777" w:rsidR="00862AD4" w:rsidRPr="000B2B5E" w:rsidRDefault="00862AD4" w:rsidP="00862AD4">
            <w:pPr>
              <w:jc w:val="both"/>
              <w:rPr>
                <w:rFonts w:cs="Arial"/>
                <w:sz w:val="22"/>
                <w:szCs w:val="22"/>
              </w:rPr>
            </w:pPr>
          </w:p>
          <w:p w14:paraId="05282DA8" w14:textId="3E7E2E1E" w:rsidR="00862AD4" w:rsidRPr="000B2B5E" w:rsidRDefault="00862AD4" w:rsidP="00862AD4">
            <w:pPr>
              <w:jc w:val="both"/>
              <w:rPr>
                <w:rFonts w:cs="Arial"/>
                <w:sz w:val="22"/>
                <w:szCs w:val="22"/>
              </w:rPr>
            </w:pPr>
            <w:r w:rsidRPr="000B2B5E">
              <w:rPr>
                <w:rFonts w:cs="Arial"/>
                <w:sz w:val="22"/>
                <w:szCs w:val="22"/>
              </w:rPr>
              <w:t>Las Directrices de la OIT para la Promoción del Trabajo decente en el sector agroalimentario, construidas en Ginebra, Suiza del 8 al 12 de mayo de 2023, las migraciones de personas en lo interno y de otros países, han influido en las dinámicas propias de las relaciones laborales, lo que implica, asumir propuestas que eviten la discriminación, las violencias, acoso y/o xenofobia entre otros, así mismo, el no abuso por no contar con permisos requeridos.</w:t>
            </w:r>
          </w:p>
          <w:p w14:paraId="716C2E44" w14:textId="77777777" w:rsidR="00862AD4" w:rsidRPr="000B2B5E" w:rsidRDefault="00862AD4" w:rsidP="00862AD4">
            <w:pPr>
              <w:jc w:val="both"/>
              <w:rPr>
                <w:rFonts w:cs="Arial"/>
                <w:color w:val="000000" w:themeColor="text1"/>
                <w:sz w:val="22"/>
                <w:szCs w:val="22"/>
              </w:rPr>
            </w:pPr>
          </w:p>
          <w:p w14:paraId="5E37D54C" w14:textId="0E76D5B0" w:rsidR="00862AD4" w:rsidRPr="000B2B5E" w:rsidRDefault="00862AD4" w:rsidP="00862AD4">
            <w:pPr>
              <w:jc w:val="both"/>
              <w:rPr>
                <w:rFonts w:cs="Arial"/>
                <w:color w:val="000000" w:themeColor="text1"/>
                <w:sz w:val="22"/>
                <w:szCs w:val="22"/>
              </w:rPr>
            </w:pPr>
            <w:r w:rsidRPr="000B2B5E">
              <w:rPr>
                <w:rFonts w:cs="Arial"/>
                <w:color w:val="000000" w:themeColor="text1"/>
                <w:sz w:val="22"/>
                <w:szCs w:val="22"/>
              </w:rPr>
              <w:t>La Convención sobre los Derechos de Personas con Discapacidad, adoptada por la Asamblea General de la Naciones Unidas el 13 de diciembre de 2006, ratificada por la Ley 1346 de 2006, en su artículo 27 establece la obligación para los Estados Parte de reconocer el derecho de las personas con discapacidad a trabajar, en igualdad de condiciones con las demás.</w:t>
            </w:r>
          </w:p>
          <w:p w14:paraId="1EFEA259" w14:textId="77777777" w:rsidR="00862AD4" w:rsidRPr="000B2B5E" w:rsidRDefault="00862AD4" w:rsidP="00862AD4">
            <w:pPr>
              <w:jc w:val="both"/>
              <w:rPr>
                <w:rFonts w:cs="Arial"/>
                <w:sz w:val="22"/>
                <w:szCs w:val="22"/>
              </w:rPr>
            </w:pPr>
          </w:p>
          <w:p w14:paraId="29A6ECBA" w14:textId="380224C3" w:rsidR="00862AD4" w:rsidRPr="000B2B5E" w:rsidRDefault="00862AD4" w:rsidP="00862AD4">
            <w:pPr>
              <w:jc w:val="both"/>
              <w:rPr>
                <w:rFonts w:cs="Arial"/>
                <w:sz w:val="22"/>
                <w:szCs w:val="22"/>
              </w:rPr>
            </w:pPr>
            <w:r w:rsidRPr="000B2B5E">
              <w:rPr>
                <w:rFonts w:cs="Arial"/>
                <w:sz w:val="22"/>
                <w:szCs w:val="22"/>
              </w:rPr>
              <w:t>La Conferencia Internacional sobre Reforma Agraria y Desarrollo Rural – CIRADR, del 34º periodo de sesiones, llevada a cabo en Roma del 17 al 24 de noviembre de 2007, manifiesta que existe una gran desigualdad entre las zonas rurales y urbanas en muchos países, viéndose reflejado en el acceso a derechos.</w:t>
            </w:r>
          </w:p>
          <w:p w14:paraId="03D45E7C" w14:textId="77777777" w:rsidR="00862AD4" w:rsidRPr="000B2B5E" w:rsidRDefault="00862AD4" w:rsidP="00862AD4">
            <w:pPr>
              <w:jc w:val="both"/>
              <w:rPr>
                <w:rFonts w:cs="Arial"/>
                <w:sz w:val="22"/>
                <w:szCs w:val="22"/>
              </w:rPr>
            </w:pPr>
          </w:p>
          <w:p w14:paraId="05397665" w14:textId="43C7B338" w:rsidR="00862AD4" w:rsidRPr="000B2B5E" w:rsidRDefault="00862AD4" w:rsidP="00862AD4">
            <w:pPr>
              <w:jc w:val="both"/>
              <w:rPr>
                <w:rFonts w:cs="Arial"/>
                <w:sz w:val="22"/>
                <w:szCs w:val="22"/>
              </w:rPr>
            </w:pPr>
            <w:r w:rsidRPr="000B2B5E">
              <w:rPr>
                <w:rFonts w:cs="Arial"/>
                <w:sz w:val="22"/>
                <w:szCs w:val="22"/>
              </w:rPr>
              <w:t>La OIT, plantea que el trabajo decente es, entre otras cosas, el acceso a un salario justo, seguridad y protección social para el trabajador y su familia, gozar de formación profesional y personal, así como la libertad de opinión y participación en las decisiones y acciones que les afectan, igualdad de derechos entre hombres y mujeres, así como la posibilidad de ejercer las libertades sindicales.</w:t>
            </w:r>
          </w:p>
          <w:p w14:paraId="087FAEC7" w14:textId="77777777" w:rsidR="00862AD4" w:rsidRPr="000B2B5E" w:rsidRDefault="00862AD4" w:rsidP="00862AD4">
            <w:pPr>
              <w:jc w:val="both"/>
              <w:rPr>
                <w:rFonts w:cs="Arial"/>
                <w:sz w:val="22"/>
                <w:szCs w:val="22"/>
              </w:rPr>
            </w:pPr>
          </w:p>
          <w:p w14:paraId="2560B09B" w14:textId="3F91B6A3" w:rsidR="00862AD4" w:rsidRPr="000B2B5E" w:rsidRDefault="00862AD4" w:rsidP="00862AD4">
            <w:pPr>
              <w:jc w:val="both"/>
              <w:rPr>
                <w:rFonts w:cs="Arial"/>
                <w:sz w:val="22"/>
                <w:szCs w:val="22"/>
              </w:rPr>
            </w:pPr>
            <w:r w:rsidRPr="000B2B5E">
              <w:rPr>
                <w:rFonts w:cs="Arial"/>
                <w:sz w:val="22"/>
                <w:szCs w:val="22"/>
              </w:rPr>
              <w:t>La Recomendación sobre la Relación de Trabajo, 2006 (Núm. 198), plantea que es necesario avanzar en la formulación de una política nacional de protección de los trabajadores que ejercen su actividad en el marco de una relación de trabajo, que luche contra las relaciones de trabajo encubiertas y asegure una protección efectiva a los trabajadores especialmente afectados por la incertidumbre en cuanto a la existencia de una relación de trabajo, incluyendo a los trabajadores y trabajadoras más vulnerables, los jóvenes, los trabajadores de edad, los trabajadores de la economía informal, los trabajadores migrantes y los trabajadores con discapacidades.</w:t>
            </w:r>
          </w:p>
          <w:p w14:paraId="0963F983" w14:textId="77777777" w:rsidR="00862AD4" w:rsidRPr="000B2B5E" w:rsidRDefault="00862AD4" w:rsidP="00862AD4">
            <w:pPr>
              <w:jc w:val="both"/>
              <w:rPr>
                <w:rFonts w:cs="Arial"/>
                <w:sz w:val="22"/>
                <w:szCs w:val="22"/>
              </w:rPr>
            </w:pPr>
          </w:p>
          <w:p w14:paraId="5B67C9D7" w14:textId="2ED9BE68" w:rsidR="00862AD4" w:rsidRPr="000B2B5E" w:rsidRDefault="00862AD4" w:rsidP="00862AD4">
            <w:pPr>
              <w:jc w:val="both"/>
              <w:rPr>
                <w:rFonts w:cs="Arial"/>
                <w:sz w:val="22"/>
                <w:szCs w:val="22"/>
              </w:rPr>
            </w:pPr>
            <w:r w:rsidRPr="000B2B5E">
              <w:rPr>
                <w:rFonts w:cs="Arial"/>
                <w:sz w:val="22"/>
                <w:szCs w:val="22"/>
              </w:rPr>
              <w:t xml:space="preserve">El Comité de Libertad Sindical y la Comisión de Expertos en Aplicación de Normas y Recomendaciones de la OIT, ha realizado a Colombia diversas observaciones y recomendaciones en materia de trabajo, especialmente desde 2013 hasta 2021 en materia de Trabajo, que resultan relevantes para efecto de garantizar el cumplimiento de los convenios internacionales suscritos por Colombia en materia de trabajo. </w:t>
            </w:r>
          </w:p>
          <w:p w14:paraId="37B7203D" w14:textId="77777777" w:rsidR="00862AD4" w:rsidRPr="000B2B5E" w:rsidRDefault="00862AD4" w:rsidP="00862AD4">
            <w:pPr>
              <w:jc w:val="both"/>
              <w:rPr>
                <w:rFonts w:cs="Arial"/>
                <w:sz w:val="22"/>
                <w:szCs w:val="22"/>
              </w:rPr>
            </w:pPr>
          </w:p>
          <w:p w14:paraId="075C838E" w14:textId="28FA4E66" w:rsidR="00862AD4" w:rsidRPr="000B2B5E" w:rsidRDefault="00862AD4" w:rsidP="00862AD4">
            <w:pPr>
              <w:jc w:val="both"/>
              <w:rPr>
                <w:rFonts w:cs="Arial"/>
                <w:sz w:val="22"/>
                <w:szCs w:val="22"/>
              </w:rPr>
            </w:pPr>
            <w:r w:rsidRPr="000B2B5E">
              <w:rPr>
                <w:rFonts w:cs="Arial"/>
                <w:sz w:val="22"/>
                <w:szCs w:val="22"/>
              </w:rPr>
              <w:t xml:space="preserve">La Constitución Política establece en los artículos 25, 38, 39, 43, 44, 47, 48, 53, 54, 55, 56, 57, 93 y 94 la obligación que tiene el Estado de desplegar todos sus esfuerzos para garantizar adecuadas condiciones de trabajo y calidad de vida para los trabajadores y trabajadoras en el territorio nacional, así como la libertad sindical y gremial, la seguridad y protección social, la formación y la habilitación profesional y/o técnica de los trabajadores y las trabajadoras, igualmente el deber de promover la concertación para la solución pacífica de los conflictos colectivos. </w:t>
            </w:r>
          </w:p>
          <w:p w14:paraId="032F8554" w14:textId="77777777" w:rsidR="00862AD4" w:rsidRPr="000B2B5E" w:rsidRDefault="00862AD4" w:rsidP="00862AD4">
            <w:pPr>
              <w:jc w:val="both"/>
              <w:rPr>
                <w:rFonts w:cs="Arial"/>
                <w:sz w:val="22"/>
                <w:szCs w:val="22"/>
              </w:rPr>
            </w:pPr>
          </w:p>
          <w:p w14:paraId="511A9778" w14:textId="2709717C" w:rsidR="00862AD4" w:rsidRPr="000B2B5E" w:rsidRDefault="00862AD4" w:rsidP="00862AD4">
            <w:pPr>
              <w:jc w:val="both"/>
              <w:rPr>
                <w:rFonts w:cs="Arial"/>
                <w:color w:val="000000" w:themeColor="text1"/>
                <w:sz w:val="22"/>
                <w:szCs w:val="22"/>
              </w:rPr>
            </w:pPr>
            <w:r w:rsidRPr="000B2B5E">
              <w:rPr>
                <w:rFonts w:cs="Arial"/>
                <w:color w:val="000000" w:themeColor="text1"/>
                <w:sz w:val="22"/>
                <w:szCs w:val="22"/>
              </w:rPr>
              <w:t>El artículo 64 de la Constitución Política, los hombres y mujeres que viven en las zonas rurales son considerad</w:t>
            </w:r>
            <w:r w:rsidR="00A15CFA" w:rsidRPr="000B2B5E">
              <w:rPr>
                <w:rFonts w:cs="Arial"/>
                <w:color w:val="000000" w:themeColor="text1"/>
                <w:sz w:val="22"/>
                <w:szCs w:val="22"/>
              </w:rPr>
              <w:t>o</w:t>
            </w:r>
            <w:r w:rsidRPr="000B2B5E">
              <w:rPr>
                <w:rFonts w:cs="Arial"/>
                <w:color w:val="000000" w:themeColor="text1"/>
                <w:sz w:val="22"/>
                <w:szCs w:val="22"/>
              </w:rPr>
              <w:t>s trabajadores agrarios, y es una obligación del Estado, quien, mediante sus instituciones competentes, garantizar el acceso progresivo a sus derechos.</w:t>
            </w:r>
          </w:p>
          <w:p w14:paraId="0431BA08" w14:textId="77777777" w:rsidR="00862AD4" w:rsidRPr="000B2B5E" w:rsidRDefault="00862AD4" w:rsidP="00862AD4">
            <w:pPr>
              <w:jc w:val="both"/>
              <w:rPr>
                <w:rFonts w:cs="Arial"/>
                <w:sz w:val="22"/>
                <w:szCs w:val="22"/>
              </w:rPr>
            </w:pPr>
          </w:p>
          <w:p w14:paraId="02BA6A73" w14:textId="33D51066" w:rsidR="00862AD4" w:rsidRPr="000B2B5E" w:rsidRDefault="00862AD4" w:rsidP="00862AD4">
            <w:pPr>
              <w:jc w:val="both"/>
              <w:rPr>
                <w:rFonts w:cs="Arial"/>
                <w:sz w:val="22"/>
                <w:szCs w:val="22"/>
              </w:rPr>
            </w:pPr>
            <w:r w:rsidRPr="000B2B5E">
              <w:rPr>
                <w:rFonts w:cs="Arial"/>
                <w:sz w:val="22"/>
                <w:szCs w:val="22"/>
              </w:rPr>
              <w:t>El artículo 333 de la Constitución Política, la empresa, como base del desarrollo, tiene una función social que implica obligaciones. El Estado fortalecerá las organizaciones solidarias y estimulará el desarrollo empresarial.</w:t>
            </w:r>
          </w:p>
          <w:p w14:paraId="44927154" w14:textId="77777777" w:rsidR="00862AD4" w:rsidRPr="000B2B5E" w:rsidRDefault="00862AD4" w:rsidP="00862AD4">
            <w:pPr>
              <w:jc w:val="both"/>
              <w:rPr>
                <w:rFonts w:cs="Arial"/>
                <w:sz w:val="22"/>
                <w:szCs w:val="22"/>
              </w:rPr>
            </w:pPr>
          </w:p>
          <w:p w14:paraId="41127C29" w14:textId="33BEAF06" w:rsidR="00862AD4" w:rsidRPr="000B2B5E" w:rsidRDefault="00862AD4" w:rsidP="00862AD4">
            <w:pPr>
              <w:jc w:val="both"/>
              <w:rPr>
                <w:rFonts w:cs="Arial"/>
                <w:sz w:val="22"/>
                <w:szCs w:val="22"/>
              </w:rPr>
            </w:pPr>
            <w:r w:rsidRPr="000B2B5E">
              <w:rPr>
                <w:rFonts w:cs="Arial"/>
                <w:sz w:val="22"/>
                <w:szCs w:val="22"/>
              </w:rPr>
              <w:lastRenderedPageBreak/>
              <w:t xml:space="preserve">El </w:t>
            </w:r>
            <w:proofErr w:type="spellStart"/>
            <w:r w:rsidRPr="000B2B5E">
              <w:rPr>
                <w:rFonts w:cs="Arial"/>
                <w:sz w:val="22"/>
                <w:szCs w:val="22"/>
              </w:rPr>
              <w:t>articulo</w:t>
            </w:r>
            <w:proofErr w:type="spellEnd"/>
            <w:r w:rsidRPr="000B2B5E">
              <w:rPr>
                <w:rFonts w:cs="Arial"/>
                <w:sz w:val="22"/>
                <w:szCs w:val="22"/>
              </w:rPr>
              <w:t xml:space="preserve"> 339 de la Constitución Política, deja en cabeza del gobierno nacional como de los territoriales la elaboración de Planes de Desarrollos, con objetivos, metas, así como inversiones públicas y financieros para su ejecución a nivel nacional para atender proyectos, programas y políticas.</w:t>
            </w:r>
          </w:p>
          <w:p w14:paraId="7D31F6CD" w14:textId="77777777" w:rsidR="00862AD4" w:rsidRPr="000B2B5E" w:rsidRDefault="00862AD4" w:rsidP="00862AD4">
            <w:pPr>
              <w:jc w:val="both"/>
              <w:rPr>
                <w:rFonts w:cs="Arial"/>
                <w:sz w:val="22"/>
                <w:szCs w:val="22"/>
              </w:rPr>
            </w:pPr>
          </w:p>
          <w:p w14:paraId="00D60260" w14:textId="051A8674" w:rsidR="00862AD4" w:rsidRPr="000B2B5E" w:rsidRDefault="00862AD4" w:rsidP="00862AD4">
            <w:pPr>
              <w:jc w:val="both"/>
              <w:rPr>
                <w:rFonts w:cs="Arial"/>
                <w:color w:val="000000" w:themeColor="text1"/>
                <w:sz w:val="22"/>
                <w:szCs w:val="22"/>
              </w:rPr>
            </w:pPr>
            <w:r w:rsidRPr="000B2B5E">
              <w:rPr>
                <w:rFonts w:cs="Arial"/>
                <w:color w:val="000000" w:themeColor="text1"/>
                <w:sz w:val="22"/>
                <w:szCs w:val="22"/>
              </w:rPr>
              <w:t xml:space="preserve">El proyecto de Acto Legislativo en proceso de sanción presidencial, que modifica el artículo  64 de la Constitución Política, entre otras cosas, </w:t>
            </w:r>
            <w:r w:rsidRPr="000B2B5E">
              <w:rPr>
                <w:rFonts w:cs="Arial"/>
                <w:i/>
                <w:color w:val="000000" w:themeColor="text1"/>
                <w:sz w:val="22"/>
                <w:szCs w:val="22"/>
              </w:rPr>
              <w:t>“...El Estado garantizará el derecho a la participación y velará, en forma especial, por la protección y garantía de sus derechos individuales y colectivos, incluidos aquellos reconocidos por la Declaración de las Naciones Unidas sobre los Derechos de los Campesinos y de Otras Personas que Trabajan en las Zonas Rurales, la cual hace parte del bloque de constitucionalidad</w:t>
            </w:r>
            <w:r w:rsidRPr="000B2B5E">
              <w:rPr>
                <w:rFonts w:cs="Arial"/>
                <w:color w:val="000000" w:themeColor="text1"/>
                <w:sz w:val="22"/>
                <w:szCs w:val="22"/>
              </w:rPr>
              <w:t>.”</w:t>
            </w:r>
          </w:p>
          <w:p w14:paraId="2D25BF91" w14:textId="77777777" w:rsidR="00862AD4" w:rsidRPr="000B2B5E" w:rsidRDefault="00862AD4" w:rsidP="00862AD4">
            <w:pPr>
              <w:jc w:val="both"/>
              <w:rPr>
                <w:rFonts w:cs="Arial"/>
                <w:sz w:val="22"/>
                <w:szCs w:val="22"/>
              </w:rPr>
            </w:pPr>
          </w:p>
          <w:p w14:paraId="1C32FB57" w14:textId="6D0AEDD0" w:rsidR="00862AD4" w:rsidRPr="000B2B5E" w:rsidRDefault="00862AD4" w:rsidP="00862AD4">
            <w:pPr>
              <w:jc w:val="both"/>
              <w:rPr>
                <w:rFonts w:cs="Arial"/>
                <w:i/>
                <w:sz w:val="22"/>
                <w:szCs w:val="22"/>
              </w:rPr>
            </w:pPr>
            <w:r w:rsidRPr="000B2B5E">
              <w:rPr>
                <w:rFonts w:cs="Arial"/>
                <w:sz w:val="22"/>
                <w:szCs w:val="22"/>
              </w:rPr>
              <w:t>La Ley 2294 de 2023 “</w:t>
            </w:r>
            <w:r w:rsidR="00A15CFA" w:rsidRPr="000B2B5E">
              <w:rPr>
                <w:rFonts w:cs="Arial"/>
                <w:sz w:val="22"/>
                <w:szCs w:val="22"/>
              </w:rPr>
              <w:t>P</w:t>
            </w:r>
            <w:r w:rsidRPr="000B2B5E">
              <w:rPr>
                <w:rFonts w:cs="Arial"/>
                <w:sz w:val="22"/>
                <w:szCs w:val="22"/>
              </w:rPr>
              <w:t>or el cual se expide el Plan Nacional de Desarrollo 2022-2026 “Colombia Potencia Mundial de la Vida”, dispuso en su artículo 75 que “e</w:t>
            </w:r>
            <w:r w:rsidRPr="000B2B5E">
              <w:rPr>
                <w:rFonts w:cs="Arial"/>
                <w:i/>
                <w:sz w:val="22"/>
                <w:szCs w:val="22"/>
              </w:rPr>
              <w:t xml:space="preserve">l Gobierno Nacional en cabeza del Ministerio de construirá y adoptará la Política Pública de Trabajo Digno y Decente, con enfoque diferencial, que tendrá como dimensiones: la promoción de empleo e ingresos dignos, la extensión de la protección social, la garantía de los derechos fundamentales del trabajo, y el ejercicio del diálogo social y </w:t>
            </w:r>
            <w:proofErr w:type="spellStart"/>
            <w:r w:rsidRPr="000B2B5E">
              <w:rPr>
                <w:rFonts w:cs="Arial"/>
                <w:i/>
                <w:sz w:val="22"/>
                <w:szCs w:val="22"/>
              </w:rPr>
              <w:t>tripartismo</w:t>
            </w:r>
            <w:proofErr w:type="spellEnd"/>
            <w:r w:rsidRPr="000B2B5E">
              <w:rPr>
                <w:rFonts w:cs="Arial"/>
                <w:i/>
                <w:sz w:val="22"/>
                <w:szCs w:val="22"/>
              </w:rPr>
              <w:t xml:space="preserve">”. </w:t>
            </w:r>
          </w:p>
          <w:p w14:paraId="6AE0F987" w14:textId="77777777" w:rsidR="00862AD4" w:rsidRPr="000B2B5E" w:rsidRDefault="00862AD4" w:rsidP="00862AD4">
            <w:pPr>
              <w:jc w:val="both"/>
              <w:rPr>
                <w:rFonts w:cs="Arial"/>
                <w:i/>
                <w:sz w:val="22"/>
                <w:szCs w:val="22"/>
              </w:rPr>
            </w:pPr>
          </w:p>
          <w:p w14:paraId="53D1AC16" w14:textId="5282C058" w:rsidR="00862AD4" w:rsidRPr="000B2B5E" w:rsidRDefault="00862AD4" w:rsidP="00862AD4">
            <w:pPr>
              <w:jc w:val="both"/>
              <w:rPr>
                <w:rFonts w:cs="Arial"/>
                <w:i/>
                <w:sz w:val="22"/>
                <w:szCs w:val="22"/>
              </w:rPr>
            </w:pPr>
            <w:r w:rsidRPr="000B2B5E">
              <w:rPr>
                <w:rFonts w:cs="Arial"/>
                <w:sz w:val="22"/>
                <w:szCs w:val="22"/>
              </w:rPr>
              <w:t>El Gobierno Nacional “</w:t>
            </w:r>
            <w:r w:rsidRPr="000B2B5E">
              <w:rPr>
                <w:rFonts w:cs="Arial"/>
                <w:i/>
                <w:sz w:val="22"/>
                <w:szCs w:val="22"/>
              </w:rPr>
              <w:t xml:space="preserve">establecerá el respectivo componente de evaluación. Además, incorporará planes, programas y proyectos específicos para las personas trabajadoras de las zonas rurales”. </w:t>
            </w:r>
            <w:r w:rsidRPr="000B2B5E">
              <w:rPr>
                <w:rFonts w:cs="Arial"/>
                <w:sz w:val="22"/>
                <w:szCs w:val="22"/>
              </w:rPr>
              <w:t xml:space="preserve">De igual forma que </w:t>
            </w:r>
            <w:r w:rsidRPr="000B2B5E">
              <w:rPr>
                <w:rFonts w:cs="Arial"/>
                <w:i/>
                <w:sz w:val="22"/>
                <w:szCs w:val="22"/>
              </w:rPr>
              <w:t>“el Gobierno nacional promoverá la formulación e implementación participativa de Políticas Públicas de trabajo digno y decente en los niveles departamentales y municipales, así como regionales y demás niveles pertinentes con su componente de evaluación. Para ello, prestará asistencia legal, técnica y tecnológica. Estas políticas incorporarán un enfoque específico de trabajo decente para las zonas rurales que contribuya a la implementación de los acuerdos de paz, y el cierre de brechas de género; (…) y “el Gobierno nacional, en cabeza del Ministerio de Igualdad y Equidad en articulación con el Ministerio de Trabajo garantizarán la correcta articulación de la Política Pública de Trabajo Digno y Decente, con la implementación de la Política Pública de Vendedores Informales”.</w:t>
            </w:r>
          </w:p>
          <w:p w14:paraId="2DC3A9C6" w14:textId="77777777" w:rsidR="00862AD4" w:rsidRPr="000B2B5E" w:rsidRDefault="00862AD4" w:rsidP="00862AD4">
            <w:pPr>
              <w:jc w:val="both"/>
              <w:rPr>
                <w:rFonts w:cs="Arial"/>
                <w:color w:val="000000" w:themeColor="text1"/>
                <w:sz w:val="22"/>
                <w:szCs w:val="22"/>
              </w:rPr>
            </w:pPr>
          </w:p>
          <w:p w14:paraId="4654EC58" w14:textId="38DB9E82" w:rsidR="00862AD4" w:rsidRPr="000B2B5E" w:rsidRDefault="00862AD4" w:rsidP="00862AD4">
            <w:pPr>
              <w:jc w:val="both"/>
              <w:rPr>
                <w:rFonts w:cs="Arial"/>
                <w:sz w:val="22"/>
                <w:szCs w:val="22"/>
                <w:lang w:val="es-MX"/>
              </w:rPr>
            </w:pPr>
            <w:r w:rsidRPr="000B2B5E">
              <w:rPr>
                <w:rFonts w:cs="Arial"/>
                <w:color w:val="000000" w:themeColor="text1"/>
                <w:sz w:val="22"/>
                <w:szCs w:val="22"/>
              </w:rPr>
              <w:t>El Plan Nacional de Desarrollo “</w:t>
            </w:r>
            <w:r w:rsidRPr="000B2B5E">
              <w:rPr>
                <w:rFonts w:cs="Arial"/>
                <w:i/>
                <w:color w:val="000000" w:themeColor="text1"/>
                <w:sz w:val="22"/>
                <w:szCs w:val="22"/>
              </w:rPr>
              <w:t>Colombia potencia mundial de la vida</w:t>
            </w:r>
            <w:r w:rsidRPr="000B2B5E">
              <w:rPr>
                <w:rFonts w:cs="Arial"/>
                <w:color w:val="000000" w:themeColor="text1"/>
                <w:sz w:val="22"/>
                <w:szCs w:val="22"/>
              </w:rPr>
              <w:t xml:space="preserve">” </w:t>
            </w:r>
            <w:r w:rsidRPr="000B2B5E">
              <w:rPr>
                <w:rFonts w:cs="Arial"/>
                <w:sz w:val="22"/>
                <w:szCs w:val="22"/>
                <w:lang w:val="es-MX"/>
              </w:rPr>
              <w:t>reconoce como parte integral de la Ley, las bases del Plan Nacional de Desarrollo según las cuales se buscará la eliminación de la discriminación laboral, el trabajo infantil y la explotación sexual de niños, niñas y adolescentes; se disminuirán las brechas laborales y de género, y se regularán las nuevas modalidades de trabajo, como las plataformas digitales, bajo criterios de progresividad y estabilidad.</w:t>
            </w:r>
          </w:p>
          <w:p w14:paraId="42FBB686" w14:textId="77777777" w:rsidR="00862AD4" w:rsidRPr="000B2B5E" w:rsidRDefault="00862AD4" w:rsidP="00862AD4">
            <w:pPr>
              <w:jc w:val="both"/>
              <w:rPr>
                <w:rFonts w:cs="Arial"/>
                <w:sz w:val="22"/>
                <w:szCs w:val="22"/>
                <w:lang w:val="es-MX"/>
              </w:rPr>
            </w:pPr>
          </w:p>
          <w:p w14:paraId="4D960241" w14:textId="5D12E4AD" w:rsidR="00862AD4" w:rsidRPr="000B2B5E" w:rsidRDefault="00862AD4" w:rsidP="00862AD4">
            <w:pPr>
              <w:spacing w:after="160" w:line="257" w:lineRule="auto"/>
              <w:jc w:val="both"/>
              <w:rPr>
                <w:rFonts w:cs="Arial"/>
                <w:sz w:val="22"/>
                <w:szCs w:val="22"/>
                <w:lang w:val="es-MX"/>
              </w:rPr>
            </w:pPr>
            <w:r w:rsidRPr="000B2B5E">
              <w:rPr>
                <w:rFonts w:cs="Arial"/>
                <w:sz w:val="22"/>
                <w:szCs w:val="22"/>
                <w:lang w:val="es-MX"/>
              </w:rPr>
              <w:t>La Ley 823 del 2003 establece el marco institucional y orienta las políticas y acciones por parte del Gobierno para garantizar la equidad y la igualdad de oportunidades de las mujeres, en los ámbitos público y privado.</w:t>
            </w:r>
          </w:p>
          <w:p w14:paraId="0EE14DB6" w14:textId="6A94BB60" w:rsidR="00862AD4" w:rsidRPr="000B2B5E" w:rsidRDefault="00862AD4" w:rsidP="00862AD4">
            <w:pPr>
              <w:spacing w:after="160" w:line="257" w:lineRule="auto"/>
              <w:jc w:val="both"/>
              <w:rPr>
                <w:rFonts w:cs="Arial"/>
                <w:sz w:val="22"/>
                <w:szCs w:val="22"/>
                <w:lang w:val="es-MX"/>
              </w:rPr>
            </w:pPr>
            <w:r w:rsidRPr="000B2B5E">
              <w:rPr>
                <w:rFonts w:cs="Arial"/>
                <w:sz w:val="22"/>
                <w:szCs w:val="22"/>
                <w:lang w:val="es-MX"/>
              </w:rPr>
              <w:t>La Ley 1257 de 2008 en su artículo 12 y el Decreto 4463 de 2011, le imponen al Ministerio del Trabajo responsabilidades claras y exigibles para (i) la promoción del reconocimiento social y económico del trabajo de las mujeres; (</w:t>
            </w:r>
            <w:proofErr w:type="spellStart"/>
            <w:r w:rsidRPr="000B2B5E">
              <w:rPr>
                <w:rFonts w:cs="Arial"/>
                <w:sz w:val="22"/>
                <w:szCs w:val="22"/>
                <w:lang w:val="es-MX"/>
              </w:rPr>
              <w:t>ii</w:t>
            </w:r>
            <w:proofErr w:type="spellEnd"/>
            <w:r w:rsidRPr="000B2B5E">
              <w:rPr>
                <w:rFonts w:cs="Arial"/>
                <w:sz w:val="22"/>
                <w:szCs w:val="22"/>
                <w:lang w:val="es-MX"/>
              </w:rPr>
              <w:t>) La implementación de mecanismos para hacer efectivo el derecho a la igualdad salarial; (</w:t>
            </w:r>
            <w:proofErr w:type="spellStart"/>
            <w:r w:rsidRPr="000B2B5E">
              <w:rPr>
                <w:rFonts w:cs="Arial"/>
                <w:sz w:val="22"/>
                <w:szCs w:val="22"/>
                <w:lang w:val="es-MX"/>
              </w:rPr>
              <w:t>iii</w:t>
            </w:r>
            <w:proofErr w:type="spellEnd"/>
            <w:r w:rsidRPr="000B2B5E">
              <w:rPr>
                <w:rFonts w:cs="Arial"/>
                <w:sz w:val="22"/>
                <w:szCs w:val="22"/>
                <w:lang w:val="es-MX"/>
              </w:rPr>
              <w:t>) el desarrollo de campañas para erradicar todo acto de discriminación y violencia contra las mujeres en el ámbito laboral; y, (</w:t>
            </w:r>
            <w:proofErr w:type="spellStart"/>
            <w:r w:rsidRPr="000B2B5E">
              <w:rPr>
                <w:rFonts w:cs="Arial"/>
                <w:sz w:val="22"/>
                <w:szCs w:val="22"/>
                <w:lang w:val="es-MX"/>
              </w:rPr>
              <w:t>iv</w:t>
            </w:r>
            <w:proofErr w:type="spellEnd"/>
            <w:r w:rsidRPr="000B2B5E">
              <w:rPr>
                <w:rFonts w:cs="Arial"/>
                <w:sz w:val="22"/>
                <w:szCs w:val="22"/>
                <w:lang w:val="es-MX"/>
              </w:rPr>
              <w:t>) la promoción del ingreso de las mujeres a espacios productivos no tradicionales.</w:t>
            </w:r>
          </w:p>
          <w:p w14:paraId="746EE747" w14:textId="2DCCC24A" w:rsidR="00862AD4" w:rsidRPr="000B2B5E" w:rsidRDefault="00862AD4" w:rsidP="00862AD4">
            <w:pPr>
              <w:jc w:val="both"/>
              <w:rPr>
                <w:rFonts w:cs="Arial"/>
                <w:sz w:val="22"/>
                <w:szCs w:val="22"/>
                <w:lang w:val="es-MX"/>
              </w:rPr>
            </w:pPr>
            <w:r w:rsidRPr="000B2B5E">
              <w:rPr>
                <w:rFonts w:cs="Arial"/>
                <w:sz w:val="22"/>
                <w:szCs w:val="22"/>
                <w:lang w:val="es-MX"/>
              </w:rPr>
              <w:t>La Ley 1496 de 2011, adopta medidas para garantizar la igualdad salarial y de cualquier forma de retribución laboral entre mujeres y hombres, fijar los mecanismos que permitan que dicha igualdad sea real y efectiva tanto en el sector público como en el privado y establecer los lineamientos generales que permitan erradicar cualquier forma discriminatoria en materia de retribución laboral.</w:t>
            </w:r>
          </w:p>
          <w:p w14:paraId="5DAB766B" w14:textId="77777777" w:rsidR="00862AD4" w:rsidRPr="000B2B5E" w:rsidRDefault="00862AD4" w:rsidP="00862AD4">
            <w:pPr>
              <w:jc w:val="both"/>
              <w:rPr>
                <w:rFonts w:cs="Arial"/>
                <w:sz w:val="22"/>
                <w:szCs w:val="22"/>
                <w:lang w:val="es-MX"/>
              </w:rPr>
            </w:pPr>
          </w:p>
          <w:p w14:paraId="15EAC8CE" w14:textId="1BF15BC5" w:rsidR="00862AD4" w:rsidRPr="000B2B5E" w:rsidRDefault="00862AD4" w:rsidP="00862AD4">
            <w:pPr>
              <w:jc w:val="both"/>
              <w:rPr>
                <w:rFonts w:cs="Arial"/>
                <w:sz w:val="22"/>
                <w:szCs w:val="22"/>
                <w:lang w:val="es-MX"/>
              </w:rPr>
            </w:pPr>
            <w:r w:rsidRPr="000B2B5E">
              <w:rPr>
                <w:rFonts w:cs="Arial"/>
                <w:sz w:val="22"/>
                <w:szCs w:val="22"/>
                <w:lang w:val="es-MX"/>
              </w:rPr>
              <w:t xml:space="preserve">En el año 2015, Colombia adoptó lo establecido en el marco de la Asamblea General liderada por la Organización de las Naciones Unidas (ONU), donde 193 líderes mundiales se comprometieron con 17 Objetivos de desarrollo sostenible y 169 metas de carácter integrado e indivisible que abarcan diferentes esferas de tipo económico, social y ambiental, y que buscan alcanzar tres objetivos: acabar con la pobreza </w:t>
            </w:r>
            <w:r w:rsidRPr="000B2B5E">
              <w:rPr>
                <w:rFonts w:cs="Arial"/>
                <w:sz w:val="22"/>
                <w:szCs w:val="22"/>
                <w:lang w:val="es-MX"/>
              </w:rPr>
              <w:lastRenderedPageBreak/>
              <w:t>extrema, luchar contra la desigualdad y la injusticia, y combatir el cambio climático y que en el Objetivo número 8 se refiere a la promoción del crecimiento económico sostenido, inclusivo y sostenible, el empleo pleno y productivo y el trabajo decente para todos</w:t>
            </w:r>
          </w:p>
          <w:p w14:paraId="6B2649D2" w14:textId="77777777" w:rsidR="00862AD4" w:rsidRPr="000B2B5E" w:rsidRDefault="00862AD4" w:rsidP="00862AD4">
            <w:pPr>
              <w:jc w:val="both"/>
              <w:rPr>
                <w:rFonts w:cs="Arial"/>
                <w:sz w:val="22"/>
                <w:szCs w:val="22"/>
                <w:lang w:val="es-MX"/>
              </w:rPr>
            </w:pPr>
          </w:p>
          <w:p w14:paraId="36EAE5F7" w14:textId="4DC2B7DB" w:rsidR="00862AD4" w:rsidRPr="000B2B5E" w:rsidRDefault="00862AD4" w:rsidP="00862AD4">
            <w:pPr>
              <w:jc w:val="both"/>
              <w:rPr>
                <w:rFonts w:cs="Arial"/>
                <w:color w:val="000000" w:themeColor="text1"/>
                <w:sz w:val="22"/>
                <w:szCs w:val="22"/>
              </w:rPr>
            </w:pPr>
            <w:r w:rsidRPr="000B2B5E">
              <w:rPr>
                <w:rFonts w:cs="Arial"/>
                <w:color w:val="000000" w:themeColor="text1"/>
                <w:sz w:val="22"/>
                <w:szCs w:val="22"/>
                <w:lang w:val="es-MX"/>
              </w:rPr>
              <w:t xml:space="preserve">El </w:t>
            </w:r>
            <w:r w:rsidRPr="000B2B5E">
              <w:rPr>
                <w:rFonts w:cs="Arial"/>
                <w:color w:val="000000" w:themeColor="text1"/>
                <w:sz w:val="22"/>
                <w:szCs w:val="22"/>
              </w:rPr>
              <w:t>Acuerdo Final para la terminación del conflicto y la construcción de una paz estable y duradera 2016 en su punto 3.2 que define que la reincorporación debe ser un proceso integral y de manera explícita establece “</w:t>
            </w:r>
            <w:r w:rsidRPr="000B2B5E">
              <w:rPr>
                <w:rFonts w:cs="Arial"/>
                <w:i/>
                <w:color w:val="000000" w:themeColor="text1"/>
                <w:sz w:val="22"/>
                <w:szCs w:val="22"/>
              </w:rPr>
              <w:t>que tendrá en todos sus componentes un enfoque diferencial, con énfasis en los derechos de las mujeres</w:t>
            </w:r>
            <w:r w:rsidRPr="000B2B5E">
              <w:rPr>
                <w:rFonts w:cs="Arial"/>
                <w:color w:val="000000" w:themeColor="text1"/>
                <w:sz w:val="22"/>
                <w:szCs w:val="22"/>
              </w:rPr>
              <w:t>” (p. 69), lo que implica tener en cuenta las desigualdades de género, discriminaciones y los impactos diferenciados del conflicto armado, en mujeres, hombres y personas de los sectores LGBTIQ+.</w:t>
            </w:r>
          </w:p>
          <w:p w14:paraId="6C850520" w14:textId="77777777" w:rsidR="00862AD4" w:rsidRPr="000B2B5E" w:rsidRDefault="00862AD4" w:rsidP="00862AD4">
            <w:pPr>
              <w:jc w:val="both"/>
              <w:rPr>
                <w:rFonts w:cs="Arial"/>
                <w:color w:val="000000" w:themeColor="text1"/>
                <w:sz w:val="22"/>
                <w:szCs w:val="22"/>
              </w:rPr>
            </w:pPr>
          </w:p>
          <w:p w14:paraId="46229902" w14:textId="63B84CA0" w:rsidR="00862AD4" w:rsidRPr="000B2B5E" w:rsidRDefault="00862AD4" w:rsidP="00862AD4">
            <w:pPr>
              <w:tabs>
                <w:tab w:val="left" w:pos="0"/>
                <w:tab w:val="left" w:pos="1080"/>
              </w:tabs>
              <w:spacing w:after="160" w:line="257" w:lineRule="auto"/>
              <w:jc w:val="both"/>
              <w:rPr>
                <w:rFonts w:cs="Arial"/>
                <w:color w:val="000000" w:themeColor="text1"/>
                <w:sz w:val="22"/>
                <w:szCs w:val="22"/>
              </w:rPr>
            </w:pPr>
            <w:r w:rsidRPr="000B2B5E">
              <w:rPr>
                <w:rFonts w:cs="Arial"/>
                <w:color w:val="000000" w:themeColor="text1"/>
                <w:sz w:val="22"/>
                <w:szCs w:val="22"/>
              </w:rPr>
              <w:t xml:space="preserve">La Ley 2117 de 2021 se fortalece y promueve la igualdad de la mujer en el acceso laboral y en educación en los sectores económicos donde han tenido baja participación.  </w:t>
            </w:r>
          </w:p>
          <w:p w14:paraId="3854A949" w14:textId="7B9BBE20" w:rsidR="00862AD4" w:rsidRPr="000B2B5E" w:rsidRDefault="00862AD4" w:rsidP="00862AD4">
            <w:pPr>
              <w:tabs>
                <w:tab w:val="left" w:pos="0"/>
                <w:tab w:val="left" w:pos="1080"/>
              </w:tabs>
              <w:spacing w:after="160" w:line="257" w:lineRule="auto"/>
              <w:jc w:val="both"/>
              <w:rPr>
                <w:rFonts w:cs="Arial"/>
                <w:sz w:val="22"/>
                <w:szCs w:val="22"/>
              </w:rPr>
            </w:pPr>
            <w:r w:rsidRPr="000B2B5E">
              <w:rPr>
                <w:rFonts w:cs="Arial"/>
                <w:sz w:val="22"/>
                <w:szCs w:val="22"/>
                <w:lang w:val="es-MX"/>
              </w:rPr>
              <w:t>La Ley 2215 de 2022 se ordenó al Ministerio del Trabajo la creación de una ruta de empleabilidad, formalización y emprendimiento para mujeres víctimas de violencia intrafamiliar y de violencias basadas en género.</w:t>
            </w:r>
          </w:p>
          <w:p w14:paraId="22EF1AE8" w14:textId="4CF171ED" w:rsidR="00862AD4" w:rsidRPr="000B2B5E" w:rsidRDefault="00862AD4" w:rsidP="00862AD4">
            <w:pPr>
              <w:spacing w:after="160" w:line="257" w:lineRule="auto"/>
              <w:jc w:val="both"/>
              <w:rPr>
                <w:rFonts w:cs="Arial"/>
                <w:sz w:val="22"/>
                <w:szCs w:val="22"/>
              </w:rPr>
            </w:pPr>
            <w:r w:rsidRPr="000B2B5E">
              <w:rPr>
                <w:rFonts w:cs="Arial"/>
                <w:sz w:val="22"/>
                <w:szCs w:val="22"/>
              </w:rPr>
              <w:t>El Decreto Ley 897 de 2017 creó el Programa de Reincorporación Económica y Social de las FARC-EP, y dispuso que dicho programa deberá contar con un enfoque diferencial y de género.</w:t>
            </w:r>
          </w:p>
          <w:p w14:paraId="49E7F166" w14:textId="44552C42" w:rsidR="00862AD4" w:rsidRPr="000B2B5E" w:rsidRDefault="00862AD4" w:rsidP="00862AD4">
            <w:pPr>
              <w:jc w:val="both"/>
              <w:rPr>
                <w:rFonts w:cs="Arial"/>
                <w:sz w:val="22"/>
                <w:szCs w:val="22"/>
                <w:lang w:val="es-MX"/>
              </w:rPr>
            </w:pPr>
            <w:r w:rsidRPr="000B2B5E">
              <w:rPr>
                <w:rFonts w:cs="Arial"/>
                <w:sz w:val="22"/>
                <w:szCs w:val="22"/>
                <w:lang w:val="es-MX"/>
              </w:rPr>
              <w:t xml:space="preserve">El Decreto 4463 de 2011, que reglamentó parcialmente la Ley 1257 de 2008, definió las acciones necesarias para el </w:t>
            </w:r>
            <w:r w:rsidRPr="000B2B5E">
              <w:rPr>
                <w:rFonts w:cs="Arial"/>
                <w:color w:val="202124"/>
                <w:sz w:val="22"/>
                <w:szCs w:val="22"/>
                <w:lang w:val="es-MX"/>
              </w:rPr>
              <w:t>reconocimiento social y económico del trabajo de las mujeres, implementar mecanismos para hacer efectivo el derecho a la igualdad salarial.</w:t>
            </w:r>
          </w:p>
          <w:p w14:paraId="13333C4F" w14:textId="3A1EB164" w:rsidR="00993EC7" w:rsidRPr="000B2B5E" w:rsidRDefault="00993EC7" w:rsidP="00862AD4">
            <w:pPr>
              <w:numPr>
                <w:ilvl w:val="0"/>
                <w:numId w:val="46"/>
              </w:numPr>
              <w:jc w:val="both"/>
              <w:rPr>
                <w:rFonts w:eastAsia="Calibri" w:cs="Arial"/>
                <w:sz w:val="22"/>
                <w:szCs w:val="22"/>
                <w:lang w:eastAsia="en-US"/>
              </w:rPr>
            </w:pPr>
          </w:p>
        </w:tc>
      </w:tr>
      <w:tr w:rsidR="00DF60FD" w:rsidRPr="000B2B5E" w14:paraId="58438FC5" w14:textId="77777777" w:rsidTr="0075705D">
        <w:trPr>
          <w:trHeight w:val="47"/>
        </w:trPr>
        <w:tc>
          <w:tcPr>
            <w:tcW w:w="10774" w:type="dxa"/>
            <w:gridSpan w:val="3"/>
            <w:shd w:val="clear" w:color="auto" w:fill="FFFFFF"/>
            <w:vAlign w:val="center"/>
          </w:tcPr>
          <w:p w14:paraId="42C3453A" w14:textId="77777777" w:rsidR="00251FCE" w:rsidRPr="000B2B5E" w:rsidRDefault="00251FCE" w:rsidP="0075705D">
            <w:pPr>
              <w:jc w:val="both"/>
              <w:rPr>
                <w:rFonts w:cs="Arial"/>
                <w:sz w:val="22"/>
                <w:szCs w:val="22"/>
                <w:lang w:eastAsia="es-CO"/>
              </w:rPr>
            </w:pPr>
          </w:p>
        </w:tc>
      </w:tr>
      <w:tr w:rsidR="00DF60FD" w:rsidRPr="000B2B5E" w14:paraId="0205F8FB"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32EF6045" w14:textId="77777777" w:rsidR="00DF60FD" w:rsidRPr="000B2B5E" w:rsidRDefault="00DF60FD" w:rsidP="0075705D">
            <w:pPr>
              <w:numPr>
                <w:ilvl w:val="0"/>
                <w:numId w:val="44"/>
              </w:numPr>
              <w:ind w:left="494"/>
              <w:rPr>
                <w:rFonts w:cs="Arial"/>
                <w:b/>
                <w:color w:val="000000"/>
                <w:sz w:val="22"/>
                <w:szCs w:val="22"/>
              </w:rPr>
            </w:pPr>
            <w:r w:rsidRPr="000B2B5E">
              <w:rPr>
                <w:rFonts w:cs="Arial"/>
                <w:b/>
                <w:color w:val="000000"/>
                <w:sz w:val="22"/>
                <w:szCs w:val="22"/>
              </w:rPr>
              <w:t>AMBITO DE APLICACIÓN Y SUJETO</w:t>
            </w:r>
            <w:r w:rsidR="00795C6B" w:rsidRPr="000B2B5E">
              <w:rPr>
                <w:rFonts w:cs="Arial"/>
                <w:b/>
                <w:color w:val="000000"/>
                <w:sz w:val="22"/>
                <w:szCs w:val="22"/>
              </w:rPr>
              <w:t>S</w:t>
            </w:r>
            <w:r w:rsidRPr="000B2B5E">
              <w:rPr>
                <w:rFonts w:cs="Arial"/>
                <w:b/>
                <w:color w:val="000000"/>
                <w:sz w:val="22"/>
                <w:szCs w:val="22"/>
              </w:rPr>
              <w:t xml:space="preserve"> A QUIEN</w:t>
            </w:r>
            <w:r w:rsidR="00795C6B" w:rsidRPr="000B2B5E">
              <w:rPr>
                <w:rFonts w:cs="Arial"/>
                <w:b/>
                <w:color w:val="000000"/>
                <w:sz w:val="22"/>
                <w:szCs w:val="22"/>
              </w:rPr>
              <w:t>ES</w:t>
            </w:r>
            <w:r w:rsidRPr="000B2B5E">
              <w:rPr>
                <w:rFonts w:cs="Arial"/>
                <w:b/>
                <w:color w:val="000000"/>
                <w:sz w:val="22"/>
                <w:szCs w:val="22"/>
              </w:rPr>
              <w:t xml:space="preserve"> VA DIRIGIDO</w:t>
            </w:r>
          </w:p>
          <w:p w14:paraId="244CF988" w14:textId="77777777" w:rsidR="00795C6B" w:rsidRPr="000B2B5E" w:rsidRDefault="00696582" w:rsidP="0075705D">
            <w:pPr>
              <w:pStyle w:val="ColorfulList-Accent11"/>
              <w:spacing w:line="240" w:lineRule="auto"/>
              <w:ind w:left="494"/>
              <w:jc w:val="both"/>
              <w:rPr>
                <w:rFonts w:ascii="Arial" w:hAnsi="Arial" w:cs="Arial"/>
                <w:i/>
                <w:color w:val="808080"/>
              </w:rPr>
            </w:pPr>
            <w:r w:rsidRPr="000B2B5E">
              <w:rPr>
                <w:rFonts w:ascii="Arial" w:hAnsi="Arial" w:cs="Arial"/>
                <w:i/>
                <w:color w:val="808080"/>
              </w:rPr>
              <w:t xml:space="preserve"> </w:t>
            </w:r>
            <w:r w:rsidR="00795C6B" w:rsidRPr="000B2B5E">
              <w:rPr>
                <w:rFonts w:ascii="Arial" w:hAnsi="Arial" w:cs="Arial"/>
                <w:i/>
                <w:color w:val="808080"/>
              </w:rPr>
              <w:t>(Por favor indique el ámbito de aplicación o sujetos obligados de la norma)</w:t>
            </w:r>
          </w:p>
          <w:p w14:paraId="0D156EA0" w14:textId="77777777" w:rsidR="00862AD4" w:rsidRPr="000B2B5E" w:rsidRDefault="00862AD4" w:rsidP="00862AD4">
            <w:pPr>
              <w:jc w:val="both"/>
              <w:rPr>
                <w:rFonts w:cs="Arial"/>
                <w:sz w:val="22"/>
                <w:szCs w:val="22"/>
              </w:rPr>
            </w:pPr>
            <w:r w:rsidRPr="000B2B5E">
              <w:rPr>
                <w:rFonts w:cs="Arial"/>
                <w:sz w:val="22"/>
                <w:szCs w:val="22"/>
              </w:rPr>
              <w:t xml:space="preserve">La Política Pública de Trabajo Digno y Decente se implementará en todo el territorio nacional y está destinada a todas las personas al margen de la existencia o no de un contrato de trabajo o una relación legal y reglamentaria, así como también a </w:t>
            </w:r>
            <w:proofErr w:type="gramStart"/>
            <w:r w:rsidRPr="000B2B5E">
              <w:rPr>
                <w:rFonts w:cs="Arial"/>
                <w:sz w:val="22"/>
                <w:szCs w:val="22"/>
              </w:rPr>
              <w:t>los trabajadores y trabajadoras</w:t>
            </w:r>
            <w:proofErr w:type="gramEnd"/>
            <w:r w:rsidRPr="000B2B5E">
              <w:rPr>
                <w:rFonts w:cs="Arial"/>
                <w:sz w:val="22"/>
                <w:szCs w:val="22"/>
              </w:rPr>
              <w:t xml:space="preserve"> de la economía informal, por cuenta propia, autónomos, autoempleados, y del sector rural. </w:t>
            </w:r>
          </w:p>
          <w:p w14:paraId="7B190D24" w14:textId="77777777" w:rsidR="00795C6B" w:rsidRPr="000B2B5E" w:rsidRDefault="00795C6B" w:rsidP="0075705D">
            <w:pPr>
              <w:rPr>
                <w:rFonts w:cs="Arial"/>
                <w:b/>
                <w:color w:val="000000"/>
                <w:sz w:val="22"/>
                <w:szCs w:val="22"/>
              </w:rPr>
            </w:pPr>
          </w:p>
          <w:p w14:paraId="0B1A10DF" w14:textId="77777777" w:rsidR="00795C6B" w:rsidRPr="000B2B5E" w:rsidRDefault="00795C6B" w:rsidP="0075705D">
            <w:pPr>
              <w:rPr>
                <w:rFonts w:cs="Arial"/>
                <w:iCs/>
                <w:color w:val="000000"/>
                <w:sz w:val="22"/>
                <w:szCs w:val="22"/>
              </w:rPr>
            </w:pPr>
          </w:p>
        </w:tc>
      </w:tr>
      <w:tr w:rsidR="00DF60FD" w:rsidRPr="000B2B5E" w14:paraId="2379D011" w14:textId="77777777" w:rsidTr="0075705D">
        <w:trPr>
          <w:trHeight w:val="278"/>
        </w:trPr>
        <w:tc>
          <w:tcPr>
            <w:tcW w:w="10774" w:type="dxa"/>
            <w:gridSpan w:val="3"/>
            <w:tcBorders>
              <w:bottom w:val="single" w:sz="4" w:space="0" w:color="auto"/>
            </w:tcBorders>
            <w:shd w:val="clear" w:color="auto" w:fill="FFFFFF"/>
            <w:vAlign w:val="center"/>
          </w:tcPr>
          <w:p w14:paraId="3A2D70FA" w14:textId="77777777" w:rsidR="00DF60FD" w:rsidRPr="000B2B5E" w:rsidRDefault="00795C6B" w:rsidP="0075705D">
            <w:pPr>
              <w:ind w:left="494" w:hanging="283"/>
              <w:rPr>
                <w:rFonts w:cs="Arial"/>
                <w:b/>
                <w:color w:val="000000"/>
                <w:sz w:val="22"/>
                <w:szCs w:val="22"/>
              </w:rPr>
            </w:pPr>
            <w:r w:rsidRPr="000B2B5E">
              <w:rPr>
                <w:rFonts w:cs="Arial"/>
                <w:b/>
                <w:color w:val="000000"/>
                <w:sz w:val="22"/>
                <w:szCs w:val="22"/>
              </w:rPr>
              <w:t xml:space="preserve">3. </w:t>
            </w:r>
            <w:r w:rsidR="00DF60FD" w:rsidRPr="000B2B5E">
              <w:rPr>
                <w:rFonts w:cs="Arial"/>
                <w:b/>
                <w:color w:val="000000"/>
                <w:sz w:val="22"/>
                <w:szCs w:val="22"/>
              </w:rPr>
              <w:t>VIABILIDAD JURÍDICA</w:t>
            </w:r>
          </w:p>
          <w:p w14:paraId="7C53FEB6" w14:textId="77777777" w:rsidR="00D05B67" w:rsidRPr="000B2B5E" w:rsidRDefault="00D05B67" w:rsidP="0075705D">
            <w:pPr>
              <w:ind w:left="494" w:hanging="283"/>
              <w:rPr>
                <w:rFonts w:cs="Arial"/>
                <w:i/>
                <w:color w:val="808080"/>
                <w:sz w:val="22"/>
                <w:szCs w:val="22"/>
              </w:rPr>
            </w:pPr>
            <w:r w:rsidRPr="000B2B5E">
              <w:rPr>
                <w:rFonts w:cs="Arial"/>
                <w:i/>
                <w:color w:val="808080"/>
                <w:sz w:val="22"/>
                <w:szCs w:val="22"/>
              </w:rPr>
              <w:t>(Por favor desarrolle cada uno de los siguientes puntos)</w:t>
            </w:r>
          </w:p>
          <w:p w14:paraId="3D5F7F6F" w14:textId="77777777" w:rsidR="00D05B67" w:rsidRPr="000B2B5E" w:rsidRDefault="00D05B67" w:rsidP="0075705D">
            <w:pPr>
              <w:ind w:left="494" w:hanging="283"/>
              <w:rPr>
                <w:rFonts w:cs="Arial"/>
                <w:b/>
                <w:bCs/>
                <w:i/>
                <w:color w:val="808080"/>
                <w:sz w:val="22"/>
                <w:szCs w:val="22"/>
              </w:rPr>
            </w:pPr>
          </w:p>
          <w:p w14:paraId="13A88DC8" w14:textId="77777777" w:rsidR="00795C6B" w:rsidRPr="000B2B5E" w:rsidRDefault="00795C6B" w:rsidP="0075705D">
            <w:pPr>
              <w:ind w:left="494" w:hanging="283"/>
              <w:jc w:val="both"/>
              <w:rPr>
                <w:rFonts w:cs="Arial"/>
                <w:b/>
                <w:bCs/>
                <w:sz w:val="22"/>
                <w:szCs w:val="22"/>
                <w:lang w:val="es-CO" w:eastAsia="es-CO"/>
              </w:rPr>
            </w:pPr>
            <w:r w:rsidRPr="000B2B5E">
              <w:rPr>
                <w:rFonts w:cs="Arial"/>
                <w:b/>
                <w:bCs/>
                <w:sz w:val="22"/>
                <w:szCs w:val="22"/>
                <w:lang w:val="es-CO" w:eastAsia="es-CO"/>
              </w:rPr>
              <w:t>3.1 Análisis de las normas que otorgan la competencia para la expedición del proyecto normativo</w:t>
            </w:r>
          </w:p>
          <w:p w14:paraId="4453FDEF" w14:textId="77777777" w:rsidR="00795C6B" w:rsidRPr="000B2B5E" w:rsidRDefault="00795C6B" w:rsidP="0075705D">
            <w:pPr>
              <w:ind w:left="494" w:hanging="283"/>
              <w:jc w:val="both"/>
              <w:rPr>
                <w:rFonts w:cs="Arial"/>
                <w:b/>
                <w:bCs/>
                <w:sz w:val="22"/>
                <w:szCs w:val="22"/>
                <w:lang w:val="es-CO" w:eastAsia="es-CO"/>
              </w:rPr>
            </w:pPr>
          </w:p>
          <w:p w14:paraId="246F8D9F" w14:textId="77777777" w:rsidR="00993EC7" w:rsidRPr="000B2B5E" w:rsidRDefault="00993EC7" w:rsidP="00993EC7">
            <w:pPr>
              <w:ind w:right="7"/>
              <w:jc w:val="both"/>
              <w:rPr>
                <w:rFonts w:cs="Arial"/>
                <w:sz w:val="22"/>
                <w:szCs w:val="22"/>
                <w:lang w:val="es-CO"/>
              </w:rPr>
            </w:pPr>
            <w:r w:rsidRPr="000B2B5E">
              <w:rPr>
                <w:rFonts w:cs="Arial"/>
                <w:iCs/>
                <w:sz w:val="22"/>
                <w:szCs w:val="22"/>
              </w:rPr>
              <w:t xml:space="preserve">Competencia: </w:t>
            </w:r>
            <w:r w:rsidRPr="000B2B5E">
              <w:rPr>
                <w:rFonts w:cs="Arial"/>
                <w:sz w:val="22"/>
                <w:szCs w:val="22"/>
                <w:lang w:val="es-CO"/>
              </w:rPr>
              <w:t>La competencia se encuentra asociada a las facultades constitucionales y legales, y en particular las conferidas por el numeral 11 del artículo 189 de la Constitución Política, el artículo 45 de la Ley 489 de 1998, y los artículos 5, 6 y 7 de la Ley 1988 de 2019.</w:t>
            </w:r>
          </w:p>
          <w:p w14:paraId="73C33FB2" w14:textId="77777777" w:rsidR="00993EC7" w:rsidRPr="000B2B5E" w:rsidRDefault="00993EC7" w:rsidP="0075705D">
            <w:pPr>
              <w:ind w:left="494" w:hanging="283"/>
              <w:jc w:val="both"/>
              <w:rPr>
                <w:rFonts w:cs="Arial"/>
                <w:b/>
                <w:bCs/>
                <w:sz w:val="22"/>
                <w:szCs w:val="22"/>
                <w:lang w:val="es-CO" w:eastAsia="es-CO"/>
              </w:rPr>
            </w:pPr>
          </w:p>
          <w:p w14:paraId="65419037" w14:textId="77777777" w:rsidR="00795C6B" w:rsidRPr="000B2B5E" w:rsidRDefault="00795C6B" w:rsidP="0075705D">
            <w:pPr>
              <w:ind w:left="494" w:hanging="283"/>
              <w:jc w:val="both"/>
              <w:rPr>
                <w:rFonts w:cs="Arial"/>
                <w:b/>
                <w:bCs/>
                <w:sz w:val="22"/>
                <w:szCs w:val="22"/>
                <w:lang w:val="es-CO" w:eastAsia="es-CO"/>
              </w:rPr>
            </w:pPr>
            <w:r w:rsidRPr="000B2B5E">
              <w:rPr>
                <w:rFonts w:cs="Arial"/>
                <w:b/>
                <w:bCs/>
                <w:sz w:val="22"/>
                <w:szCs w:val="22"/>
                <w:lang w:val="es-CO" w:eastAsia="es-CO"/>
              </w:rPr>
              <w:t>3.2 Vigencia de la ley o norma reglamentada o desarrollada</w:t>
            </w:r>
          </w:p>
          <w:p w14:paraId="7B65333E" w14:textId="77777777" w:rsidR="00993EC7" w:rsidRPr="000B2B5E" w:rsidRDefault="00993EC7" w:rsidP="0075705D">
            <w:pPr>
              <w:ind w:left="494" w:hanging="283"/>
              <w:jc w:val="both"/>
              <w:rPr>
                <w:rFonts w:cs="Arial"/>
                <w:b/>
                <w:bCs/>
                <w:sz w:val="22"/>
                <w:szCs w:val="22"/>
                <w:lang w:val="es-CO" w:eastAsia="es-CO"/>
              </w:rPr>
            </w:pPr>
          </w:p>
          <w:p w14:paraId="66CCC4BA" w14:textId="7B6F0BC0" w:rsidR="00993EC7" w:rsidRPr="000B2B5E" w:rsidRDefault="00862AD4" w:rsidP="0075705D">
            <w:pPr>
              <w:ind w:left="494" w:hanging="283"/>
              <w:jc w:val="both"/>
              <w:rPr>
                <w:rFonts w:cs="Arial"/>
                <w:b/>
                <w:bCs/>
                <w:sz w:val="22"/>
                <w:szCs w:val="22"/>
                <w:lang w:eastAsia="es-CO"/>
              </w:rPr>
            </w:pPr>
            <w:r w:rsidRPr="000B2B5E">
              <w:rPr>
                <w:rFonts w:cs="Arial"/>
                <w:sz w:val="22"/>
                <w:szCs w:val="22"/>
              </w:rPr>
              <w:t>- Ley 2294 de 2023: “por el cual se expide el Plan Nacional de Desarrollo 2022-2026 “Colombia Potencia Mundial de la Vida”, artículo 75.</w:t>
            </w:r>
          </w:p>
          <w:p w14:paraId="1F467862" w14:textId="77777777" w:rsidR="00795C6B" w:rsidRPr="000B2B5E" w:rsidRDefault="00795C6B" w:rsidP="0075705D">
            <w:pPr>
              <w:ind w:left="494" w:hanging="283"/>
              <w:jc w:val="both"/>
              <w:rPr>
                <w:rFonts w:cs="Arial"/>
                <w:b/>
                <w:bCs/>
                <w:sz w:val="22"/>
                <w:szCs w:val="22"/>
                <w:lang w:eastAsia="es-CO"/>
              </w:rPr>
            </w:pPr>
          </w:p>
          <w:p w14:paraId="6D84F861" w14:textId="77777777" w:rsidR="00795C6B" w:rsidRPr="000B2B5E" w:rsidRDefault="00795C6B" w:rsidP="0075705D">
            <w:pPr>
              <w:ind w:left="494" w:hanging="283"/>
              <w:jc w:val="both"/>
              <w:rPr>
                <w:rFonts w:cs="Arial"/>
                <w:b/>
                <w:bCs/>
                <w:sz w:val="22"/>
                <w:szCs w:val="22"/>
                <w:lang w:val="es-CO" w:eastAsia="es-CO"/>
              </w:rPr>
            </w:pPr>
            <w:r w:rsidRPr="000B2B5E">
              <w:rPr>
                <w:rFonts w:cs="Arial"/>
                <w:b/>
                <w:bCs/>
                <w:sz w:val="22"/>
                <w:szCs w:val="22"/>
                <w:lang w:val="es-CO" w:eastAsia="es-CO"/>
              </w:rPr>
              <w:t>3.3. Disposiciones derogas, subrogadas, modificadas, adicionadas</w:t>
            </w:r>
            <w:r w:rsidR="00D05B67" w:rsidRPr="000B2B5E">
              <w:rPr>
                <w:rFonts w:cs="Arial"/>
                <w:b/>
                <w:bCs/>
                <w:sz w:val="22"/>
                <w:szCs w:val="22"/>
                <w:lang w:val="es-CO" w:eastAsia="es-CO"/>
              </w:rPr>
              <w:t xml:space="preserve"> o sustituidas </w:t>
            </w:r>
          </w:p>
          <w:p w14:paraId="21398498" w14:textId="77777777" w:rsidR="00D05B67" w:rsidRPr="000B2B5E" w:rsidRDefault="00D05B67" w:rsidP="0075705D">
            <w:pPr>
              <w:ind w:left="494" w:hanging="283"/>
              <w:jc w:val="both"/>
              <w:rPr>
                <w:rFonts w:cs="Arial"/>
                <w:b/>
                <w:bCs/>
                <w:sz w:val="22"/>
                <w:szCs w:val="22"/>
                <w:lang w:val="es-CO" w:eastAsia="es-CO"/>
              </w:rPr>
            </w:pPr>
          </w:p>
          <w:p w14:paraId="5C9F6094" w14:textId="77777777" w:rsidR="00993EC7" w:rsidRPr="000B2B5E" w:rsidRDefault="00993EC7" w:rsidP="00993EC7">
            <w:pPr>
              <w:ind w:right="425"/>
              <w:jc w:val="both"/>
              <w:rPr>
                <w:rFonts w:cs="Arial"/>
                <w:sz w:val="22"/>
                <w:szCs w:val="22"/>
                <w:lang w:val="es-CO" w:eastAsia="es-CO"/>
              </w:rPr>
            </w:pPr>
            <w:r w:rsidRPr="000B2B5E">
              <w:rPr>
                <w:rFonts w:cs="Arial"/>
                <w:sz w:val="22"/>
                <w:szCs w:val="22"/>
                <w:lang w:val="es-CO" w:eastAsia="es-CO"/>
              </w:rPr>
              <w:t xml:space="preserve">    No Aplica.</w:t>
            </w:r>
          </w:p>
          <w:p w14:paraId="0C26BD6F" w14:textId="77777777" w:rsidR="00993EC7" w:rsidRPr="000B2B5E" w:rsidRDefault="00993EC7" w:rsidP="00993EC7">
            <w:pPr>
              <w:jc w:val="both"/>
              <w:rPr>
                <w:rFonts w:cs="Arial"/>
                <w:b/>
                <w:bCs/>
                <w:sz w:val="22"/>
                <w:szCs w:val="22"/>
                <w:lang w:val="es-CO" w:eastAsia="es-CO"/>
              </w:rPr>
            </w:pPr>
          </w:p>
          <w:p w14:paraId="36A08FAA" w14:textId="77777777" w:rsidR="00D05B67" w:rsidRPr="000B2B5E" w:rsidRDefault="00D05B67" w:rsidP="0075705D">
            <w:pPr>
              <w:ind w:left="494" w:hanging="283"/>
              <w:jc w:val="both"/>
              <w:rPr>
                <w:rFonts w:cs="Arial"/>
                <w:b/>
                <w:bCs/>
                <w:sz w:val="22"/>
                <w:szCs w:val="22"/>
                <w:lang w:val="es-CO" w:eastAsia="es-CO"/>
              </w:rPr>
            </w:pPr>
            <w:r w:rsidRPr="000B2B5E">
              <w:rPr>
                <w:rFonts w:cs="Arial"/>
                <w:b/>
                <w:bCs/>
                <w:sz w:val="22"/>
                <w:szCs w:val="22"/>
                <w:lang w:val="es-CO" w:eastAsia="es-CO"/>
              </w:rPr>
              <w:t>3.4 Revisión y análisis de la jurisprudencia que tenga impacto o sea relevante para la expedición del proyecto normativo (órganos de cierre de cada jurisdicción)</w:t>
            </w:r>
          </w:p>
          <w:p w14:paraId="3E8148BB" w14:textId="77777777" w:rsidR="00993EC7" w:rsidRPr="000B2B5E" w:rsidRDefault="00993EC7" w:rsidP="0075705D">
            <w:pPr>
              <w:ind w:left="494" w:hanging="283"/>
              <w:jc w:val="both"/>
              <w:rPr>
                <w:rFonts w:cs="Arial"/>
                <w:b/>
                <w:bCs/>
                <w:sz w:val="22"/>
                <w:szCs w:val="22"/>
                <w:lang w:val="es-CO" w:eastAsia="es-CO"/>
              </w:rPr>
            </w:pPr>
          </w:p>
          <w:p w14:paraId="4F2EC375" w14:textId="4E2F109C" w:rsidR="00862AD4" w:rsidRPr="000B2B5E" w:rsidRDefault="00862AD4" w:rsidP="00862AD4">
            <w:pPr>
              <w:spacing w:after="160" w:line="257" w:lineRule="auto"/>
              <w:jc w:val="both"/>
              <w:rPr>
                <w:rFonts w:cs="Arial"/>
                <w:color w:val="000000" w:themeColor="text1"/>
                <w:sz w:val="22"/>
                <w:szCs w:val="22"/>
              </w:rPr>
            </w:pPr>
            <w:r w:rsidRPr="000B2B5E">
              <w:rPr>
                <w:rFonts w:cs="Arial"/>
                <w:color w:val="000000" w:themeColor="text1"/>
                <w:sz w:val="22"/>
                <w:szCs w:val="22"/>
              </w:rPr>
              <w:t>- Organización Internacional del Trabajo (OIT) ha adoptado varios convenios relacionados con el trabajo decente entre los que se encuentran: El Convenio sobre la libertad sindical y la protección del derecho de sindicación (Convenio 87); el Convenio sobre el derecho de sindicación y de negociación colectiva (Convenio 98); el Convenio sobre la abolición del trabajo forzoso (Convenio 29) que prohíbe el trabajo forzoso u obligatorio en todas sus formas, incluyendo la trata de personas, la esclavitud y la servidumbre por deudas; el Convenio sobre la edad mínima de admisión al empleo (Convenio138); el Convenio sobre las peores formas de trabajo infantil (Convenio 182); el Convenio sobre el trabajo decente para las trabajadoras y los trabajadores domésticos (Convenio189) que busca garantizar la igualdad de trato y de oportunidades para las trabajadoras domésticas y el Convenio 190 sobre la violencia y el acoso en el mundo del trabajo.</w:t>
            </w:r>
          </w:p>
          <w:p w14:paraId="45AAA0EA" w14:textId="0B981F14" w:rsidR="00993EC7" w:rsidRPr="000B2B5E" w:rsidRDefault="00993EC7" w:rsidP="0075705D">
            <w:pPr>
              <w:ind w:left="494" w:hanging="283"/>
              <w:jc w:val="both"/>
              <w:rPr>
                <w:rFonts w:cs="Arial"/>
                <w:b/>
                <w:bCs/>
                <w:sz w:val="22"/>
                <w:szCs w:val="22"/>
                <w:lang w:eastAsia="es-CO"/>
              </w:rPr>
            </w:pPr>
          </w:p>
          <w:p w14:paraId="48B43B6F" w14:textId="77777777" w:rsidR="00D05B67" w:rsidRPr="000B2B5E" w:rsidRDefault="00D05B67" w:rsidP="0075705D">
            <w:pPr>
              <w:ind w:left="494" w:hanging="283"/>
              <w:jc w:val="both"/>
              <w:rPr>
                <w:rFonts w:cs="Arial"/>
                <w:b/>
                <w:bCs/>
                <w:sz w:val="22"/>
                <w:szCs w:val="22"/>
                <w:lang w:val="es-CO" w:eastAsia="es-CO"/>
              </w:rPr>
            </w:pPr>
          </w:p>
          <w:p w14:paraId="4558E086" w14:textId="77777777" w:rsidR="00D05B67" w:rsidRPr="000B2B5E" w:rsidRDefault="00D05B67" w:rsidP="0075705D">
            <w:pPr>
              <w:ind w:left="494" w:hanging="283"/>
              <w:jc w:val="both"/>
              <w:rPr>
                <w:rFonts w:cs="Arial"/>
                <w:b/>
                <w:bCs/>
                <w:sz w:val="22"/>
                <w:szCs w:val="22"/>
                <w:lang w:val="es-CO" w:eastAsia="es-CO"/>
              </w:rPr>
            </w:pPr>
            <w:r w:rsidRPr="000B2B5E">
              <w:rPr>
                <w:rFonts w:cs="Arial"/>
                <w:b/>
                <w:bCs/>
                <w:sz w:val="22"/>
                <w:szCs w:val="22"/>
                <w:lang w:val="es-CO" w:eastAsia="es-CO"/>
              </w:rPr>
              <w:t xml:space="preserve">3.5 Circunstancias jurídicas adicionales </w:t>
            </w:r>
          </w:p>
          <w:p w14:paraId="666647EA" w14:textId="77777777" w:rsidR="00993EC7" w:rsidRPr="000B2B5E" w:rsidRDefault="00993EC7" w:rsidP="00993EC7">
            <w:pPr>
              <w:jc w:val="both"/>
              <w:rPr>
                <w:rFonts w:cs="Arial"/>
                <w:sz w:val="22"/>
                <w:szCs w:val="22"/>
                <w:lang w:val="es-CO" w:eastAsia="es-CO"/>
              </w:rPr>
            </w:pPr>
          </w:p>
          <w:p w14:paraId="0DD06CEB" w14:textId="11CF3FA1" w:rsidR="00993EC7" w:rsidRPr="000B2B5E" w:rsidRDefault="00993EC7" w:rsidP="00993EC7">
            <w:pPr>
              <w:jc w:val="both"/>
              <w:rPr>
                <w:rFonts w:cs="Arial"/>
                <w:sz w:val="22"/>
                <w:szCs w:val="22"/>
                <w:lang w:val="es-CO" w:eastAsia="es-CO"/>
              </w:rPr>
            </w:pPr>
            <w:r w:rsidRPr="000B2B5E">
              <w:rPr>
                <w:rFonts w:cs="Arial"/>
                <w:sz w:val="22"/>
                <w:szCs w:val="22"/>
                <w:lang w:val="es-CO" w:eastAsia="es-CO"/>
              </w:rPr>
              <w:t>El contenido de este proyecto de Decreto</w:t>
            </w:r>
            <w:r w:rsidRPr="000B2B5E">
              <w:rPr>
                <w:rFonts w:cs="Arial"/>
                <w:bCs/>
                <w:sz w:val="22"/>
                <w:szCs w:val="22"/>
              </w:rPr>
              <w:t>.</w:t>
            </w:r>
            <w:r w:rsidRPr="000B2B5E">
              <w:rPr>
                <w:rFonts w:cs="Arial"/>
                <w:sz w:val="22"/>
                <w:szCs w:val="22"/>
                <w:lang w:val="es-CO" w:eastAsia="es-CO"/>
              </w:rPr>
              <w:t xml:space="preserve"> </w:t>
            </w:r>
            <w:r w:rsidR="00862AD4" w:rsidRPr="000B2B5E">
              <w:rPr>
                <w:rFonts w:cs="Arial"/>
                <w:sz w:val="22"/>
                <w:szCs w:val="22"/>
                <w:lang w:val="es-CO" w:eastAsia="es-CO"/>
              </w:rPr>
              <w:t xml:space="preserve">se desarrolló de acuerdo </w:t>
            </w:r>
            <w:r w:rsidR="00862AD4" w:rsidRPr="000B2B5E">
              <w:rPr>
                <w:rFonts w:cs="Arial"/>
                <w:sz w:val="22"/>
                <w:szCs w:val="22"/>
              </w:rPr>
              <w:t>la Ley 2294 de 2023: “por el cual se expide el Plan Nacional de Desarrollo 2022-2026 “Colombia Potencia Mundial de la Vida”, dispuso en su artículo 75 que “e</w:t>
            </w:r>
            <w:r w:rsidR="00862AD4" w:rsidRPr="000B2B5E">
              <w:rPr>
                <w:rFonts w:cs="Arial"/>
                <w:i/>
                <w:sz w:val="22"/>
                <w:szCs w:val="22"/>
              </w:rPr>
              <w:t xml:space="preserve">l Gobierno Nacional en cabeza del Ministerio de construirá y adoptará la Política Pública de Trabajo Digno y Decente, con enfoque diferencial, que tendrá como dimensiones: la promoción de empleo e ingresos dignos, la extensión de la protección social, la garantía de los derechos fundamentales del trabajo, y el ejercicio del diálogo social y </w:t>
            </w:r>
            <w:proofErr w:type="spellStart"/>
            <w:r w:rsidR="00862AD4" w:rsidRPr="000B2B5E">
              <w:rPr>
                <w:rFonts w:cs="Arial"/>
                <w:i/>
                <w:sz w:val="22"/>
                <w:szCs w:val="22"/>
              </w:rPr>
              <w:t>tripartismo</w:t>
            </w:r>
            <w:proofErr w:type="spellEnd"/>
            <w:r w:rsidR="00862AD4" w:rsidRPr="000B2B5E">
              <w:rPr>
                <w:rFonts w:cs="Arial"/>
                <w:i/>
                <w:sz w:val="22"/>
                <w:szCs w:val="22"/>
              </w:rPr>
              <w:t>”.</w:t>
            </w:r>
          </w:p>
          <w:p w14:paraId="35656495" w14:textId="77777777" w:rsidR="00993EC7" w:rsidRPr="000B2B5E" w:rsidRDefault="00993EC7" w:rsidP="0075705D">
            <w:pPr>
              <w:ind w:left="494" w:hanging="283"/>
              <w:jc w:val="both"/>
              <w:rPr>
                <w:rFonts w:cs="Arial"/>
                <w:b/>
                <w:bCs/>
                <w:sz w:val="22"/>
                <w:szCs w:val="22"/>
                <w:lang w:val="es-CO" w:eastAsia="es-CO"/>
              </w:rPr>
            </w:pPr>
          </w:p>
          <w:p w14:paraId="1FEC26B4" w14:textId="77777777" w:rsidR="00795C6B" w:rsidRPr="000B2B5E" w:rsidRDefault="00795C6B" w:rsidP="00795C6B">
            <w:pPr>
              <w:pBdr>
                <w:top w:val="single" w:sz="4" w:space="1" w:color="auto"/>
                <w:left w:val="single" w:sz="4" w:space="4" w:color="auto"/>
                <w:bottom w:val="single" w:sz="4" w:space="1" w:color="auto"/>
                <w:right w:val="single" w:sz="4" w:space="4" w:color="auto"/>
              </w:pBdr>
              <w:jc w:val="both"/>
              <w:rPr>
                <w:rFonts w:cs="Arial"/>
                <w:sz w:val="22"/>
                <w:szCs w:val="22"/>
                <w:lang w:val="es-CO" w:eastAsia="es-CO"/>
              </w:rPr>
            </w:pPr>
          </w:p>
          <w:p w14:paraId="41959B76" w14:textId="77777777" w:rsidR="00795C6B" w:rsidRPr="000B2B5E" w:rsidRDefault="00795C6B" w:rsidP="00795C6B">
            <w:pPr>
              <w:pBdr>
                <w:top w:val="single" w:sz="4" w:space="1" w:color="auto"/>
                <w:left w:val="single" w:sz="4" w:space="4" w:color="auto"/>
                <w:bottom w:val="single" w:sz="4" w:space="1" w:color="auto"/>
                <w:right w:val="single" w:sz="4" w:space="4" w:color="auto"/>
              </w:pBdr>
              <w:jc w:val="both"/>
              <w:rPr>
                <w:rFonts w:cs="Arial"/>
                <w:sz w:val="22"/>
                <w:szCs w:val="22"/>
                <w:lang w:val="es-CO" w:eastAsia="es-CO"/>
              </w:rPr>
            </w:pPr>
          </w:p>
        </w:tc>
      </w:tr>
      <w:tr w:rsidR="00DF60FD" w:rsidRPr="000B2B5E" w14:paraId="68D8EB1D" w14:textId="77777777" w:rsidTr="0075705D">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2FD99F" w14:textId="77777777" w:rsidR="00843EFF" w:rsidRPr="000B2B5E" w:rsidRDefault="00843EFF" w:rsidP="00A161B9">
            <w:pPr>
              <w:rPr>
                <w:rFonts w:cs="Arial"/>
                <w:b/>
                <w:color w:val="000000"/>
                <w:sz w:val="22"/>
                <w:szCs w:val="22"/>
              </w:rPr>
            </w:pPr>
          </w:p>
          <w:p w14:paraId="2DBC5A24" w14:textId="77777777" w:rsidR="00DF60FD" w:rsidRPr="000B2B5E" w:rsidRDefault="00DF60FD" w:rsidP="00D05B67">
            <w:pPr>
              <w:numPr>
                <w:ilvl w:val="0"/>
                <w:numId w:val="45"/>
              </w:numPr>
              <w:rPr>
                <w:rFonts w:cs="Arial"/>
                <w:b/>
                <w:color w:val="000000"/>
                <w:sz w:val="22"/>
                <w:szCs w:val="22"/>
              </w:rPr>
            </w:pPr>
            <w:r w:rsidRPr="000B2B5E">
              <w:rPr>
                <w:rFonts w:cs="Arial"/>
                <w:b/>
                <w:color w:val="000000"/>
                <w:sz w:val="22"/>
                <w:szCs w:val="22"/>
              </w:rPr>
              <w:t xml:space="preserve">IMPACTO ECONÓMICO </w:t>
            </w:r>
            <w:r w:rsidR="00D05B67" w:rsidRPr="000B2B5E">
              <w:rPr>
                <w:rFonts w:cs="Arial"/>
                <w:color w:val="000000"/>
                <w:sz w:val="22"/>
                <w:szCs w:val="22"/>
              </w:rPr>
              <w:t>(Si se requiere)</w:t>
            </w:r>
          </w:p>
          <w:p w14:paraId="4E2042D6" w14:textId="77777777" w:rsidR="00843EFF" w:rsidRPr="000B2B5E" w:rsidRDefault="00843EFF" w:rsidP="00993EC7">
            <w:pPr>
              <w:pStyle w:val="ColorfulList-Accent11"/>
              <w:jc w:val="both"/>
              <w:rPr>
                <w:rFonts w:ascii="Arial" w:hAnsi="Arial" w:cs="Arial"/>
                <w:i/>
                <w:color w:val="808080"/>
              </w:rPr>
            </w:pPr>
          </w:p>
          <w:p w14:paraId="41A16CD4" w14:textId="451DA069" w:rsidR="00993EC7" w:rsidRPr="000B2B5E" w:rsidRDefault="00993EC7" w:rsidP="00993EC7">
            <w:pPr>
              <w:pStyle w:val="ColorfulList-Accent11"/>
              <w:jc w:val="both"/>
              <w:rPr>
                <w:rFonts w:ascii="Arial" w:hAnsi="Arial" w:cs="Arial"/>
              </w:rPr>
            </w:pPr>
            <w:r w:rsidRPr="000B2B5E">
              <w:rPr>
                <w:rFonts w:ascii="Arial" w:hAnsi="Arial" w:cs="Arial"/>
              </w:rPr>
              <w:t>No aplica</w:t>
            </w:r>
          </w:p>
        </w:tc>
      </w:tr>
      <w:tr w:rsidR="00DF60FD" w:rsidRPr="000B2B5E" w14:paraId="27303927" w14:textId="77777777" w:rsidTr="0075705D">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C0992A" w14:textId="77777777" w:rsidR="00843EFF" w:rsidRPr="000B2B5E" w:rsidRDefault="00843EFF" w:rsidP="00A161B9">
            <w:pPr>
              <w:rPr>
                <w:rFonts w:cs="Arial"/>
                <w:b/>
                <w:color w:val="000000"/>
                <w:sz w:val="22"/>
                <w:szCs w:val="22"/>
              </w:rPr>
            </w:pPr>
          </w:p>
          <w:p w14:paraId="4BC0D419" w14:textId="77777777" w:rsidR="00DF60FD" w:rsidRPr="000B2B5E" w:rsidRDefault="00795C6B" w:rsidP="00D05B67">
            <w:pPr>
              <w:numPr>
                <w:ilvl w:val="0"/>
                <w:numId w:val="45"/>
              </w:numPr>
              <w:rPr>
                <w:rFonts w:cs="Arial"/>
                <w:b/>
                <w:color w:val="000000"/>
                <w:sz w:val="22"/>
                <w:szCs w:val="22"/>
              </w:rPr>
            </w:pPr>
            <w:r w:rsidRPr="000B2B5E">
              <w:rPr>
                <w:rFonts w:cs="Arial"/>
                <w:b/>
                <w:color w:val="000000"/>
                <w:sz w:val="22"/>
                <w:szCs w:val="22"/>
              </w:rPr>
              <w:t xml:space="preserve">VIABILIDAD O </w:t>
            </w:r>
            <w:r w:rsidR="00DF60FD" w:rsidRPr="000B2B5E">
              <w:rPr>
                <w:rFonts w:cs="Arial"/>
                <w:b/>
                <w:color w:val="000000"/>
                <w:sz w:val="22"/>
                <w:szCs w:val="22"/>
              </w:rPr>
              <w:t xml:space="preserve">DISPONIBILIDAD PRESUPUESTAL </w:t>
            </w:r>
            <w:r w:rsidR="00D05B67" w:rsidRPr="000B2B5E">
              <w:rPr>
                <w:rFonts w:cs="Arial"/>
                <w:color w:val="000000"/>
                <w:sz w:val="22"/>
                <w:szCs w:val="22"/>
              </w:rPr>
              <w:t>(Si se requiere)</w:t>
            </w:r>
          </w:p>
          <w:p w14:paraId="68A3A790" w14:textId="77777777" w:rsidR="00F44A2E" w:rsidRPr="000B2B5E" w:rsidRDefault="00F44A2E" w:rsidP="00F44A2E">
            <w:pPr>
              <w:jc w:val="both"/>
              <w:rPr>
                <w:rFonts w:cs="Arial"/>
                <w:sz w:val="22"/>
                <w:szCs w:val="22"/>
                <w:lang w:eastAsia="es-CO"/>
              </w:rPr>
            </w:pPr>
          </w:p>
          <w:p w14:paraId="3D510F19" w14:textId="69BD021A" w:rsidR="00993EC7" w:rsidRPr="000B2B5E" w:rsidRDefault="00993EC7" w:rsidP="00993EC7">
            <w:pPr>
              <w:ind w:left="708"/>
              <w:jc w:val="both"/>
              <w:rPr>
                <w:rFonts w:cs="Arial"/>
                <w:sz w:val="22"/>
                <w:szCs w:val="22"/>
                <w:lang w:eastAsia="es-CO"/>
              </w:rPr>
            </w:pPr>
            <w:r w:rsidRPr="000B2B5E">
              <w:rPr>
                <w:rFonts w:cs="Arial"/>
                <w:sz w:val="22"/>
                <w:szCs w:val="22"/>
                <w:lang w:eastAsia="es-CO"/>
              </w:rPr>
              <w:t>No aplica.</w:t>
            </w:r>
          </w:p>
          <w:p w14:paraId="69601C72" w14:textId="77777777" w:rsidR="00696582" w:rsidRPr="000B2B5E" w:rsidRDefault="00696582" w:rsidP="00F44A2E">
            <w:pPr>
              <w:jc w:val="both"/>
              <w:rPr>
                <w:rFonts w:cs="Arial"/>
                <w:sz w:val="22"/>
                <w:szCs w:val="22"/>
                <w:lang w:eastAsia="es-CO"/>
              </w:rPr>
            </w:pPr>
          </w:p>
        </w:tc>
      </w:tr>
      <w:tr w:rsidR="00DF60FD" w:rsidRPr="000B2B5E" w14:paraId="59851443" w14:textId="77777777" w:rsidTr="00696582">
        <w:trPr>
          <w:trHeight w:val="1295"/>
        </w:trPr>
        <w:tc>
          <w:tcPr>
            <w:tcW w:w="10774" w:type="dxa"/>
            <w:gridSpan w:val="3"/>
            <w:tcBorders>
              <w:top w:val="single" w:sz="4" w:space="0" w:color="auto"/>
              <w:bottom w:val="single" w:sz="4" w:space="0" w:color="auto"/>
            </w:tcBorders>
            <w:shd w:val="clear" w:color="auto" w:fill="FFFFFF"/>
            <w:vAlign w:val="center"/>
          </w:tcPr>
          <w:p w14:paraId="000D4AB0" w14:textId="77777777" w:rsidR="00DF60FD" w:rsidRPr="000B2B5E" w:rsidRDefault="00DF60FD" w:rsidP="00D05B67">
            <w:pPr>
              <w:numPr>
                <w:ilvl w:val="0"/>
                <w:numId w:val="45"/>
              </w:numPr>
              <w:jc w:val="both"/>
              <w:rPr>
                <w:rFonts w:cs="Arial"/>
                <w:b/>
                <w:color w:val="000000"/>
                <w:sz w:val="22"/>
                <w:szCs w:val="22"/>
              </w:rPr>
            </w:pPr>
            <w:r w:rsidRPr="000B2B5E">
              <w:rPr>
                <w:rFonts w:cs="Arial"/>
                <w:b/>
                <w:color w:val="000000"/>
                <w:sz w:val="22"/>
                <w:szCs w:val="22"/>
              </w:rPr>
              <w:t xml:space="preserve"> IMPACTO MEDIOAMBIENTAL O SOBRE EL PATRIMONIO CULTURAL DE LA NACIÓN </w:t>
            </w:r>
            <w:r w:rsidR="00D05B67" w:rsidRPr="000B2B5E">
              <w:rPr>
                <w:rFonts w:cs="Arial"/>
                <w:color w:val="000000"/>
                <w:sz w:val="22"/>
                <w:szCs w:val="22"/>
              </w:rPr>
              <w:t>(Si se requiere)</w:t>
            </w:r>
          </w:p>
          <w:p w14:paraId="18F6FA49" w14:textId="1CCDC46F" w:rsidR="00D05B67" w:rsidRPr="000B2B5E" w:rsidRDefault="00D05B67" w:rsidP="00696582">
            <w:pPr>
              <w:ind w:left="778"/>
              <w:jc w:val="both"/>
              <w:rPr>
                <w:rFonts w:cs="Arial"/>
                <w:i/>
                <w:color w:val="808080"/>
                <w:sz w:val="22"/>
                <w:szCs w:val="22"/>
              </w:rPr>
            </w:pPr>
          </w:p>
          <w:p w14:paraId="6EE16FA6" w14:textId="7C75CD41" w:rsidR="00696582" w:rsidRPr="000B2B5E" w:rsidRDefault="00993EC7" w:rsidP="00F8371F">
            <w:pPr>
              <w:ind w:left="778"/>
              <w:jc w:val="both"/>
              <w:rPr>
                <w:rFonts w:cs="Arial"/>
                <w:b/>
                <w:color w:val="000000"/>
                <w:sz w:val="22"/>
                <w:szCs w:val="22"/>
              </w:rPr>
            </w:pPr>
            <w:r w:rsidRPr="000B2B5E">
              <w:rPr>
                <w:rFonts w:cs="Arial"/>
                <w:sz w:val="22"/>
                <w:szCs w:val="22"/>
                <w:lang w:eastAsia="es-CO"/>
              </w:rPr>
              <w:t>No aplica.</w:t>
            </w:r>
          </w:p>
        </w:tc>
      </w:tr>
      <w:tr w:rsidR="00DF60FD" w:rsidRPr="000B2B5E" w14:paraId="4DC23B47" w14:textId="77777777" w:rsidTr="00696582">
        <w:trPr>
          <w:trHeight w:val="317"/>
        </w:trPr>
        <w:tc>
          <w:tcPr>
            <w:tcW w:w="10774" w:type="dxa"/>
            <w:gridSpan w:val="3"/>
            <w:tcBorders>
              <w:top w:val="single" w:sz="4" w:space="0" w:color="auto"/>
              <w:bottom w:val="single" w:sz="4" w:space="0" w:color="auto"/>
            </w:tcBorders>
            <w:shd w:val="clear" w:color="auto" w:fill="FFFFFF"/>
            <w:vAlign w:val="center"/>
          </w:tcPr>
          <w:p w14:paraId="616729FA" w14:textId="77777777" w:rsidR="00D05B67" w:rsidRPr="000B2B5E" w:rsidRDefault="00D05B67" w:rsidP="00696582">
            <w:pPr>
              <w:numPr>
                <w:ilvl w:val="0"/>
                <w:numId w:val="45"/>
              </w:numPr>
              <w:jc w:val="both"/>
              <w:rPr>
                <w:rFonts w:cs="Arial"/>
                <w:sz w:val="22"/>
                <w:szCs w:val="22"/>
              </w:rPr>
            </w:pPr>
            <w:r w:rsidRPr="000B2B5E">
              <w:rPr>
                <w:rFonts w:cs="Arial"/>
                <w:b/>
                <w:sz w:val="22"/>
                <w:szCs w:val="22"/>
              </w:rPr>
              <w:t>ESTUDIOS TÉCNICOS QUE SUSTENTEN EL PROYECTO NORMATIVO</w:t>
            </w:r>
            <w:r w:rsidRPr="000B2B5E">
              <w:rPr>
                <w:rFonts w:cs="Arial"/>
                <w:sz w:val="22"/>
                <w:szCs w:val="22"/>
              </w:rPr>
              <w:t xml:space="preserve"> (Si cuenta con ellos)</w:t>
            </w:r>
            <w:r w:rsidR="00696582" w:rsidRPr="000B2B5E">
              <w:rPr>
                <w:rFonts w:cs="Arial"/>
                <w:sz w:val="22"/>
                <w:szCs w:val="22"/>
              </w:rPr>
              <w:t xml:space="preserve"> </w:t>
            </w:r>
          </w:p>
        </w:tc>
      </w:tr>
      <w:tr w:rsidR="00DF60FD" w:rsidRPr="000B2B5E" w14:paraId="69A6795D"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2F68FC5E" w14:textId="180965DA" w:rsidR="00843EFF" w:rsidRPr="000B2B5E" w:rsidRDefault="00993EC7" w:rsidP="00A161B9">
            <w:pPr>
              <w:rPr>
                <w:rFonts w:cs="Arial"/>
                <w:bCs/>
                <w:color w:val="000000"/>
                <w:sz w:val="22"/>
                <w:szCs w:val="22"/>
              </w:rPr>
            </w:pPr>
            <w:r w:rsidRPr="000B2B5E">
              <w:rPr>
                <w:rFonts w:cs="Arial"/>
                <w:b/>
                <w:color w:val="000000"/>
                <w:sz w:val="22"/>
                <w:szCs w:val="22"/>
              </w:rPr>
              <w:t xml:space="preserve"> </w:t>
            </w:r>
            <w:r w:rsidRPr="000B2B5E">
              <w:rPr>
                <w:rFonts w:cs="Arial"/>
                <w:bCs/>
                <w:color w:val="000000"/>
                <w:sz w:val="22"/>
                <w:szCs w:val="22"/>
              </w:rPr>
              <w:t>No aplica</w:t>
            </w:r>
          </w:p>
        </w:tc>
      </w:tr>
      <w:tr w:rsidR="00DF60FD" w:rsidRPr="000B2B5E" w14:paraId="0E0DF9A6" w14:textId="77777777">
        <w:trPr>
          <w:trHeight w:val="416"/>
        </w:trPr>
        <w:tc>
          <w:tcPr>
            <w:tcW w:w="10774" w:type="dxa"/>
            <w:gridSpan w:val="3"/>
            <w:tcBorders>
              <w:top w:val="single" w:sz="4" w:space="0" w:color="auto"/>
              <w:bottom w:val="single" w:sz="4" w:space="0" w:color="auto"/>
            </w:tcBorders>
            <w:shd w:val="clear" w:color="auto" w:fill="A6A6A6"/>
            <w:vAlign w:val="center"/>
          </w:tcPr>
          <w:p w14:paraId="0CEA2805" w14:textId="77777777" w:rsidR="00F55DC4" w:rsidRPr="000B2B5E" w:rsidRDefault="00DF60FD" w:rsidP="00696582">
            <w:pPr>
              <w:jc w:val="center"/>
              <w:rPr>
                <w:rFonts w:cs="Arial"/>
                <w:color w:val="FFFFFF"/>
                <w:sz w:val="22"/>
                <w:szCs w:val="22"/>
              </w:rPr>
            </w:pPr>
            <w:r w:rsidRPr="000B2B5E">
              <w:rPr>
                <w:rFonts w:cs="Arial"/>
                <w:b/>
                <w:color w:val="FFFFFF"/>
                <w:sz w:val="22"/>
                <w:szCs w:val="22"/>
              </w:rPr>
              <w:t>ANEXOS</w:t>
            </w:r>
            <w:r w:rsidR="00D05B67" w:rsidRPr="000B2B5E">
              <w:rPr>
                <w:rFonts w:cs="Arial"/>
                <w:b/>
                <w:color w:val="FFFFFF"/>
                <w:sz w:val="22"/>
                <w:szCs w:val="22"/>
              </w:rPr>
              <w:t>:</w:t>
            </w:r>
            <w:r w:rsidR="00696582" w:rsidRPr="000B2B5E">
              <w:rPr>
                <w:rFonts w:cs="Arial"/>
                <w:color w:val="FFFFFF"/>
                <w:sz w:val="22"/>
                <w:szCs w:val="22"/>
              </w:rPr>
              <w:t xml:space="preserve"> </w:t>
            </w:r>
          </w:p>
        </w:tc>
      </w:tr>
      <w:tr w:rsidR="00D05B67" w:rsidRPr="000B2B5E" w14:paraId="3EE721D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492F00C3" w14:textId="77777777" w:rsidR="00D05B67" w:rsidRPr="000B2B5E" w:rsidRDefault="00D05B67" w:rsidP="00D05B67">
            <w:pPr>
              <w:jc w:val="both"/>
              <w:rPr>
                <w:rFonts w:cs="Arial"/>
                <w:sz w:val="22"/>
                <w:szCs w:val="22"/>
              </w:rPr>
            </w:pPr>
            <w:r w:rsidRPr="000B2B5E">
              <w:rPr>
                <w:rFonts w:cs="Arial"/>
                <w:sz w:val="22"/>
                <w:szCs w:val="22"/>
              </w:rPr>
              <w:t xml:space="preserve">Certificación de cumplimiento de requisitos de consulta, publicidad y de incorporación en la agenda regulatoria </w:t>
            </w:r>
          </w:p>
          <w:p w14:paraId="2B3D202B" w14:textId="77777777" w:rsidR="00D05B67" w:rsidRPr="000B2B5E" w:rsidRDefault="00D05B67" w:rsidP="00D05B67">
            <w:pPr>
              <w:jc w:val="both"/>
              <w:rPr>
                <w:rFonts w:cs="Arial"/>
                <w:i/>
                <w:color w:val="808080"/>
                <w:sz w:val="22"/>
                <w:szCs w:val="22"/>
              </w:rPr>
            </w:pPr>
            <w:r w:rsidRPr="000B2B5E">
              <w:rPr>
                <w:rFonts w:cs="Arial"/>
                <w:i/>
                <w:color w:val="808080"/>
                <w:sz w:val="22"/>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vAlign w:val="center"/>
          </w:tcPr>
          <w:p w14:paraId="6307D79A" w14:textId="77777777" w:rsidR="00D05B67" w:rsidRPr="000B2B5E" w:rsidRDefault="00D05B67" w:rsidP="00D05B67">
            <w:pPr>
              <w:jc w:val="both"/>
              <w:rPr>
                <w:rFonts w:cs="Arial"/>
                <w:i/>
                <w:color w:val="808080"/>
                <w:sz w:val="22"/>
                <w:szCs w:val="22"/>
              </w:rPr>
            </w:pPr>
            <w:r w:rsidRPr="000B2B5E">
              <w:rPr>
                <w:rFonts w:cs="Arial"/>
                <w:i/>
                <w:color w:val="808080"/>
                <w:sz w:val="22"/>
                <w:szCs w:val="22"/>
              </w:rPr>
              <w:t>(Marque con una x)</w:t>
            </w:r>
          </w:p>
        </w:tc>
      </w:tr>
      <w:tr w:rsidR="00D05B67" w:rsidRPr="000B2B5E" w14:paraId="6AF4570A"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4408ED7F" w14:textId="77777777" w:rsidR="00D05B67" w:rsidRPr="000B2B5E" w:rsidRDefault="00D05B67" w:rsidP="00D05B67">
            <w:pPr>
              <w:jc w:val="both"/>
              <w:rPr>
                <w:rFonts w:cs="Arial"/>
                <w:sz w:val="22"/>
                <w:szCs w:val="22"/>
              </w:rPr>
            </w:pPr>
            <w:r w:rsidRPr="000B2B5E">
              <w:rPr>
                <w:rFonts w:cs="Arial"/>
                <w:sz w:val="22"/>
                <w:szCs w:val="22"/>
              </w:rPr>
              <w:lastRenderedPageBreak/>
              <w:t>Concepto</w:t>
            </w:r>
            <w:r w:rsidR="005F30C3" w:rsidRPr="000B2B5E">
              <w:rPr>
                <w:rFonts w:cs="Arial"/>
                <w:sz w:val="22"/>
                <w:szCs w:val="22"/>
              </w:rPr>
              <w:t>(s)</w:t>
            </w:r>
            <w:r w:rsidRPr="000B2B5E">
              <w:rPr>
                <w:rFonts w:cs="Arial"/>
                <w:sz w:val="22"/>
                <w:szCs w:val="22"/>
              </w:rPr>
              <w:t xml:space="preserve"> de Min</w:t>
            </w:r>
            <w:r w:rsidR="005F30C3" w:rsidRPr="000B2B5E">
              <w:rPr>
                <w:rFonts w:cs="Arial"/>
                <w:sz w:val="22"/>
                <w:szCs w:val="22"/>
              </w:rPr>
              <w:t>isterio de</w:t>
            </w:r>
            <w:r w:rsidRPr="000B2B5E">
              <w:rPr>
                <w:rFonts w:cs="Arial"/>
                <w:sz w:val="22"/>
                <w:szCs w:val="22"/>
              </w:rPr>
              <w:t xml:space="preserve"> Comercio</w:t>
            </w:r>
            <w:r w:rsidR="005F30C3" w:rsidRPr="000B2B5E">
              <w:rPr>
                <w:rFonts w:cs="Arial"/>
                <w:sz w:val="22"/>
                <w:szCs w:val="22"/>
              </w:rPr>
              <w:t>, Industria y Turismo</w:t>
            </w:r>
          </w:p>
          <w:p w14:paraId="258BFF2C" w14:textId="77777777" w:rsidR="00D05B67" w:rsidRPr="000B2B5E" w:rsidRDefault="005F30C3" w:rsidP="00D05B67">
            <w:pPr>
              <w:jc w:val="both"/>
              <w:rPr>
                <w:rFonts w:cs="Arial"/>
                <w:i/>
                <w:color w:val="808080"/>
                <w:sz w:val="22"/>
                <w:szCs w:val="22"/>
              </w:rPr>
            </w:pPr>
            <w:r w:rsidRPr="000B2B5E">
              <w:rPr>
                <w:rFonts w:cs="Arial"/>
                <w:i/>
                <w:color w:val="808080"/>
                <w:sz w:val="22"/>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vAlign w:val="center"/>
          </w:tcPr>
          <w:p w14:paraId="06C91341" w14:textId="77777777" w:rsidR="00D05B67" w:rsidRPr="000B2B5E" w:rsidRDefault="005F30C3" w:rsidP="00D05B67">
            <w:pPr>
              <w:jc w:val="both"/>
              <w:rPr>
                <w:rFonts w:cs="Arial"/>
                <w:sz w:val="22"/>
                <w:szCs w:val="22"/>
              </w:rPr>
            </w:pPr>
            <w:r w:rsidRPr="000B2B5E">
              <w:rPr>
                <w:rFonts w:cs="Arial"/>
                <w:i/>
                <w:color w:val="808080"/>
                <w:sz w:val="22"/>
                <w:szCs w:val="22"/>
              </w:rPr>
              <w:t>(Marque con una x)</w:t>
            </w:r>
          </w:p>
        </w:tc>
      </w:tr>
      <w:tr w:rsidR="005F30C3" w:rsidRPr="000B2B5E" w14:paraId="1AD5B35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3ABBFDD7" w14:textId="77777777" w:rsidR="005F30C3" w:rsidRPr="000B2B5E" w:rsidRDefault="005F30C3" w:rsidP="00D05B67">
            <w:pPr>
              <w:jc w:val="both"/>
              <w:rPr>
                <w:rFonts w:cs="Arial"/>
                <w:sz w:val="22"/>
                <w:szCs w:val="22"/>
              </w:rPr>
            </w:pPr>
            <w:r w:rsidRPr="000B2B5E">
              <w:rPr>
                <w:rFonts w:cs="Arial"/>
                <w:sz w:val="22"/>
                <w:szCs w:val="22"/>
              </w:rPr>
              <w:t xml:space="preserve">Informe de observaciones y respuestas </w:t>
            </w:r>
          </w:p>
          <w:p w14:paraId="5905E776" w14:textId="77777777" w:rsidR="005F30C3" w:rsidRPr="000B2B5E" w:rsidRDefault="005F30C3" w:rsidP="00D05B67">
            <w:pPr>
              <w:jc w:val="both"/>
              <w:rPr>
                <w:rFonts w:cs="Arial"/>
                <w:i/>
                <w:color w:val="808080"/>
                <w:sz w:val="22"/>
                <w:szCs w:val="22"/>
              </w:rPr>
            </w:pPr>
            <w:r w:rsidRPr="000B2B5E">
              <w:rPr>
                <w:rFonts w:cs="Arial"/>
                <w:i/>
                <w:color w:val="808080"/>
                <w:sz w:val="22"/>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vAlign w:val="center"/>
          </w:tcPr>
          <w:p w14:paraId="528D8936" w14:textId="77777777" w:rsidR="005F30C3" w:rsidRPr="000B2B5E" w:rsidRDefault="005F30C3" w:rsidP="00D05B67">
            <w:pPr>
              <w:jc w:val="both"/>
              <w:rPr>
                <w:rFonts w:cs="Arial"/>
                <w:sz w:val="22"/>
                <w:szCs w:val="22"/>
              </w:rPr>
            </w:pPr>
            <w:r w:rsidRPr="000B2B5E">
              <w:rPr>
                <w:rFonts w:cs="Arial"/>
                <w:i/>
                <w:color w:val="808080"/>
                <w:sz w:val="22"/>
                <w:szCs w:val="22"/>
              </w:rPr>
              <w:t>(Marque con una x)</w:t>
            </w:r>
          </w:p>
        </w:tc>
      </w:tr>
      <w:tr w:rsidR="005F30C3" w:rsidRPr="000B2B5E" w14:paraId="6FF401B8"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134CBD9C" w14:textId="77777777" w:rsidR="005F30C3" w:rsidRPr="000B2B5E" w:rsidRDefault="005F30C3" w:rsidP="00D05B67">
            <w:pPr>
              <w:jc w:val="both"/>
              <w:rPr>
                <w:rFonts w:cs="Arial"/>
                <w:sz w:val="22"/>
                <w:szCs w:val="22"/>
              </w:rPr>
            </w:pPr>
            <w:r w:rsidRPr="000B2B5E">
              <w:rPr>
                <w:rFonts w:cs="Arial"/>
                <w:sz w:val="22"/>
                <w:szCs w:val="22"/>
              </w:rPr>
              <w:t>Concepto de Abogacía de la Competencia de la Superintendencia de Industria y Comercio</w:t>
            </w:r>
          </w:p>
          <w:p w14:paraId="0212D055" w14:textId="77777777" w:rsidR="005F30C3" w:rsidRPr="000B2B5E" w:rsidRDefault="005F30C3" w:rsidP="00D05B67">
            <w:pPr>
              <w:jc w:val="both"/>
              <w:rPr>
                <w:rFonts w:cs="Arial"/>
                <w:i/>
                <w:color w:val="808080"/>
                <w:sz w:val="22"/>
                <w:szCs w:val="22"/>
              </w:rPr>
            </w:pPr>
            <w:r w:rsidRPr="000B2B5E">
              <w:rPr>
                <w:rFonts w:cs="Arial"/>
                <w:i/>
                <w:color w:val="808080"/>
                <w:sz w:val="22"/>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vAlign w:val="center"/>
          </w:tcPr>
          <w:p w14:paraId="26CF0B5F" w14:textId="77777777" w:rsidR="005F30C3" w:rsidRPr="000B2B5E" w:rsidRDefault="005F30C3" w:rsidP="00D05B67">
            <w:pPr>
              <w:jc w:val="both"/>
              <w:rPr>
                <w:rFonts w:cs="Arial"/>
                <w:sz w:val="22"/>
                <w:szCs w:val="22"/>
              </w:rPr>
            </w:pPr>
            <w:r w:rsidRPr="000B2B5E">
              <w:rPr>
                <w:rFonts w:cs="Arial"/>
                <w:i/>
                <w:color w:val="808080"/>
                <w:sz w:val="22"/>
                <w:szCs w:val="22"/>
              </w:rPr>
              <w:t>(Marque con una x)</w:t>
            </w:r>
          </w:p>
        </w:tc>
      </w:tr>
      <w:tr w:rsidR="005F30C3" w:rsidRPr="000B2B5E" w14:paraId="1DA20083"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7EF2E840" w14:textId="77777777" w:rsidR="005F30C3" w:rsidRPr="000B2B5E" w:rsidRDefault="005F30C3" w:rsidP="00D05B67">
            <w:pPr>
              <w:jc w:val="both"/>
              <w:rPr>
                <w:rFonts w:cs="Arial"/>
                <w:sz w:val="22"/>
                <w:szCs w:val="22"/>
              </w:rPr>
            </w:pPr>
            <w:r w:rsidRPr="000B2B5E">
              <w:rPr>
                <w:rFonts w:cs="Arial"/>
                <w:sz w:val="22"/>
                <w:szCs w:val="22"/>
              </w:rPr>
              <w:t>Concepto de aprobación nuevos trámites del Departamento Administrativo de la Función Pública</w:t>
            </w:r>
          </w:p>
          <w:p w14:paraId="47C4DB8E" w14:textId="77777777" w:rsidR="005F30C3" w:rsidRPr="000B2B5E" w:rsidRDefault="005F30C3" w:rsidP="00D05B67">
            <w:pPr>
              <w:jc w:val="both"/>
              <w:rPr>
                <w:rFonts w:cs="Arial"/>
                <w:sz w:val="22"/>
                <w:szCs w:val="22"/>
              </w:rPr>
            </w:pPr>
            <w:r w:rsidRPr="000B2B5E">
              <w:rPr>
                <w:rFonts w:cs="Arial"/>
                <w:i/>
                <w:color w:val="808080"/>
                <w:sz w:val="22"/>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vAlign w:val="center"/>
          </w:tcPr>
          <w:p w14:paraId="6627BD9C" w14:textId="77777777" w:rsidR="005F30C3" w:rsidRPr="000B2B5E" w:rsidRDefault="005F30C3" w:rsidP="00D05B67">
            <w:pPr>
              <w:jc w:val="both"/>
              <w:rPr>
                <w:rFonts w:cs="Arial"/>
                <w:sz w:val="22"/>
                <w:szCs w:val="22"/>
              </w:rPr>
            </w:pPr>
            <w:r w:rsidRPr="000B2B5E">
              <w:rPr>
                <w:rFonts w:cs="Arial"/>
                <w:i/>
                <w:color w:val="808080"/>
                <w:sz w:val="22"/>
                <w:szCs w:val="22"/>
              </w:rPr>
              <w:t>(Marque con una x)</w:t>
            </w:r>
          </w:p>
        </w:tc>
      </w:tr>
      <w:tr w:rsidR="005F30C3" w:rsidRPr="000B2B5E" w14:paraId="730E5572"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6AFA5836" w14:textId="77777777" w:rsidR="005F30C3" w:rsidRPr="000B2B5E" w:rsidRDefault="005F30C3" w:rsidP="00084B49">
            <w:pPr>
              <w:jc w:val="both"/>
              <w:rPr>
                <w:rFonts w:cs="Arial"/>
                <w:sz w:val="22"/>
                <w:szCs w:val="22"/>
              </w:rPr>
            </w:pPr>
            <w:r w:rsidRPr="000B2B5E">
              <w:rPr>
                <w:rFonts w:cs="Arial"/>
                <w:sz w:val="22"/>
                <w:szCs w:val="22"/>
              </w:rPr>
              <w:t xml:space="preserve">Otro </w:t>
            </w:r>
          </w:p>
          <w:p w14:paraId="2116F96B" w14:textId="77777777" w:rsidR="005F30C3" w:rsidRPr="000B2B5E" w:rsidRDefault="005F30C3" w:rsidP="00084B49">
            <w:pPr>
              <w:jc w:val="both"/>
              <w:rPr>
                <w:rFonts w:cs="Arial"/>
                <w:sz w:val="22"/>
                <w:szCs w:val="22"/>
              </w:rPr>
            </w:pPr>
            <w:r w:rsidRPr="000B2B5E">
              <w:rPr>
                <w:rFonts w:cs="Arial"/>
                <w:i/>
                <w:color w:val="808080"/>
                <w:sz w:val="22"/>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vAlign w:val="center"/>
          </w:tcPr>
          <w:p w14:paraId="096B43A2" w14:textId="77777777" w:rsidR="005F30C3" w:rsidRPr="000B2B5E" w:rsidRDefault="005F30C3" w:rsidP="00D05B67">
            <w:pPr>
              <w:jc w:val="both"/>
              <w:rPr>
                <w:rFonts w:cs="Arial"/>
                <w:sz w:val="22"/>
                <w:szCs w:val="22"/>
              </w:rPr>
            </w:pPr>
            <w:r w:rsidRPr="000B2B5E">
              <w:rPr>
                <w:rFonts w:cs="Arial"/>
                <w:i/>
                <w:color w:val="808080"/>
                <w:sz w:val="22"/>
                <w:szCs w:val="22"/>
              </w:rPr>
              <w:t>(Marque con una x)</w:t>
            </w:r>
          </w:p>
        </w:tc>
      </w:tr>
    </w:tbl>
    <w:p w14:paraId="07F0EE14" w14:textId="77777777" w:rsidR="00301DC2" w:rsidRPr="000B2B5E" w:rsidRDefault="00301DC2" w:rsidP="00587695">
      <w:pPr>
        <w:ind w:right="-377"/>
        <w:jc w:val="both"/>
        <w:rPr>
          <w:rFonts w:cs="Arial"/>
          <w:sz w:val="22"/>
          <w:szCs w:val="22"/>
        </w:rPr>
      </w:pPr>
    </w:p>
    <w:p w14:paraId="2008F26D" w14:textId="77777777" w:rsidR="00011FFA" w:rsidRDefault="00011FFA" w:rsidP="00696582">
      <w:pPr>
        <w:ind w:left="-1276" w:right="-377" w:firstLine="283"/>
        <w:jc w:val="both"/>
        <w:rPr>
          <w:rFonts w:cs="Arial"/>
          <w:b/>
          <w:sz w:val="22"/>
          <w:szCs w:val="22"/>
        </w:rPr>
      </w:pPr>
    </w:p>
    <w:p w14:paraId="182B3D54" w14:textId="77777777" w:rsidR="00011FFA" w:rsidRDefault="00011FFA" w:rsidP="00696582">
      <w:pPr>
        <w:ind w:left="-1276" w:right="-377" w:firstLine="283"/>
        <w:jc w:val="both"/>
        <w:rPr>
          <w:rFonts w:cs="Arial"/>
          <w:b/>
          <w:sz w:val="22"/>
          <w:szCs w:val="22"/>
        </w:rPr>
      </w:pPr>
    </w:p>
    <w:p w14:paraId="209864E4" w14:textId="77777777" w:rsidR="00011FFA" w:rsidRDefault="00011FFA" w:rsidP="00696582">
      <w:pPr>
        <w:ind w:left="-1276" w:right="-377" w:firstLine="283"/>
        <w:jc w:val="both"/>
        <w:rPr>
          <w:rFonts w:cs="Arial"/>
          <w:b/>
          <w:sz w:val="22"/>
          <w:szCs w:val="22"/>
        </w:rPr>
      </w:pPr>
    </w:p>
    <w:p w14:paraId="28B287CC" w14:textId="77777777" w:rsidR="00011FFA" w:rsidRDefault="00011FFA" w:rsidP="00696582">
      <w:pPr>
        <w:ind w:left="-1276" w:right="-377" w:firstLine="283"/>
        <w:jc w:val="both"/>
        <w:rPr>
          <w:rFonts w:cs="Arial"/>
          <w:b/>
          <w:sz w:val="22"/>
          <w:szCs w:val="22"/>
        </w:rPr>
      </w:pPr>
    </w:p>
    <w:p w14:paraId="40EA2BE3" w14:textId="11634749" w:rsidR="00B66D03" w:rsidRPr="000B2B5E" w:rsidRDefault="000B30A6" w:rsidP="00696582">
      <w:pPr>
        <w:ind w:left="-1276" w:right="-377" w:firstLine="283"/>
        <w:jc w:val="both"/>
        <w:rPr>
          <w:rFonts w:cs="Arial"/>
          <w:b/>
          <w:sz w:val="22"/>
          <w:szCs w:val="22"/>
        </w:rPr>
      </w:pPr>
      <w:r w:rsidRPr="000B2B5E">
        <w:rPr>
          <w:rFonts w:cs="Arial"/>
          <w:b/>
          <w:sz w:val="22"/>
          <w:szCs w:val="22"/>
        </w:rPr>
        <w:t>Aprobó</w:t>
      </w:r>
      <w:r w:rsidR="00CB4D37" w:rsidRPr="000B2B5E">
        <w:rPr>
          <w:rFonts w:cs="Arial"/>
          <w:b/>
          <w:sz w:val="22"/>
          <w:szCs w:val="22"/>
        </w:rPr>
        <w:t>:</w:t>
      </w:r>
    </w:p>
    <w:p w14:paraId="72A28D43" w14:textId="77777777" w:rsidR="00B66D03" w:rsidRPr="000B2B5E" w:rsidRDefault="00B66D03" w:rsidP="00086B16">
      <w:pPr>
        <w:ind w:left="-1276" w:right="-377"/>
        <w:jc w:val="both"/>
        <w:rPr>
          <w:rFonts w:cs="Arial"/>
          <w:sz w:val="22"/>
          <w:szCs w:val="22"/>
        </w:rPr>
      </w:pPr>
    </w:p>
    <w:p w14:paraId="61122F76" w14:textId="77777777" w:rsidR="007E4CE3" w:rsidRPr="000B2B5E" w:rsidRDefault="007E4CE3" w:rsidP="00086B16">
      <w:pPr>
        <w:ind w:left="-1276" w:right="-377"/>
        <w:jc w:val="both"/>
        <w:rPr>
          <w:rFonts w:cs="Arial"/>
          <w:sz w:val="22"/>
          <w:szCs w:val="22"/>
        </w:rPr>
      </w:pPr>
    </w:p>
    <w:p w14:paraId="11B39FE8" w14:textId="19A2680C" w:rsidR="00014D67" w:rsidRPr="000B2B5E" w:rsidRDefault="00014D67" w:rsidP="00086B16">
      <w:pPr>
        <w:ind w:left="-1276" w:right="-377"/>
        <w:jc w:val="both"/>
        <w:rPr>
          <w:rFonts w:cs="Arial"/>
          <w:sz w:val="22"/>
          <w:szCs w:val="22"/>
        </w:rPr>
      </w:pPr>
    </w:p>
    <w:p w14:paraId="6C32F221" w14:textId="77777777" w:rsidR="00A640B5" w:rsidRPr="000B2B5E" w:rsidRDefault="00A640B5" w:rsidP="00086B16">
      <w:pPr>
        <w:ind w:left="-1276" w:right="-377"/>
        <w:jc w:val="both"/>
        <w:rPr>
          <w:rFonts w:cs="Arial"/>
          <w:sz w:val="22"/>
          <w:szCs w:val="22"/>
        </w:rPr>
      </w:pPr>
    </w:p>
    <w:p w14:paraId="35B3FDA4" w14:textId="77777777" w:rsidR="00A640B5" w:rsidRPr="000B2B5E" w:rsidRDefault="00A640B5" w:rsidP="00086B16">
      <w:pPr>
        <w:ind w:left="-1276" w:right="-377"/>
        <w:jc w:val="both"/>
        <w:rPr>
          <w:rFonts w:cs="Arial"/>
          <w:sz w:val="22"/>
          <w:szCs w:val="22"/>
        </w:rPr>
      </w:pPr>
    </w:p>
    <w:p w14:paraId="330A392F" w14:textId="77777777" w:rsidR="00D05B67" w:rsidRPr="000B2B5E" w:rsidRDefault="00D05B67" w:rsidP="00D05B67">
      <w:pPr>
        <w:pStyle w:val="ColorfulList-Accent11"/>
        <w:jc w:val="both"/>
        <w:rPr>
          <w:rFonts w:ascii="Arial" w:hAnsi="Arial" w:cs="Arial"/>
          <w:b/>
        </w:rPr>
      </w:pPr>
      <w:r w:rsidRPr="000B2B5E">
        <w:rPr>
          <w:rFonts w:ascii="Arial" w:hAnsi="Arial" w:cs="Arial"/>
          <w:b/>
        </w:rPr>
        <w:t>______________</w:t>
      </w:r>
      <w:r w:rsidR="00022C96" w:rsidRPr="000B2B5E">
        <w:rPr>
          <w:rFonts w:ascii="Arial" w:hAnsi="Arial" w:cs="Arial"/>
          <w:b/>
        </w:rPr>
        <w:t>_______________</w:t>
      </w:r>
      <w:r w:rsidRPr="000B2B5E">
        <w:rPr>
          <w:rFonts w:ascii="Arial" w:hAnsi="Arial" w:cs="Arial"/>
          <w:b/>
        </w:rPr>
        <w:t>___</w:t>
      </w:r>
    </w:p>
    <w:p w14:paraId="2A4098DE" w14:textId="0B484CE2" w:rsidR="00D05B67" w:rsidRPr="000B2B5E" w:rsidRDefault="00D020AE" w:rsidP="00696582">
      <w:pPr>
        <w:pStyle w:val="ColorfulList-Accent11"/>
        <w:rPr>
          <w:rFonts w:ascii="Arial" w:hAnsi="Arial" w:cs="Arial"/>
          <w:b/>
        </w:rPr>
      </w:pPr>
      <w:r w:rsidRPr="000B2B5E">
        <w:rPr>
          <w:rFonts w:ascii="Arial" w:hAnsi="Arial" w:cs="Arial"/>
          <w:b/>
        </w:rPr>
        <w:t>Edwin Palma Egea</w:t>
      </w:r>
    </w:p>
    <w:p w14:paraId="541590E1" w14:textId="00241259" w:rsidR="00D020AE" w:rsidRPr="000B2B5E" w:rsidRDefault="00D020AE" w:rsidP="00696582">
      <w:pPr>
        <w:pStyle w:val="ColorfulList-Accent11"/>
        <w:rPr>
          <w:rFonts w:ascii="Arial" w:hAnsi="Arial" w:cs="Arial"/>
          <w:b/>
        </w:rPr>
      </w:pPr>
      <w:r w:rsidRPr="000B2B5E">
        <w:rPr>
          <w:rFonts w:ascii="Arial" w:hAnsi="Arial" w:cs="Arial"/>
          <w:b/>
        </w:rPr>
        <w:t>Viceministro de Relaciones Laborales</w:t>
      </w:r>
    </w:p>
    <w:p w14:paraId="0B35397E" w14:textId="77777777" w:rsidR="00022C96" w:rsidRPr="000B2B5E" w:rsidRDefault="00022C96" w:rsidP="00022C96">
      <w:pPr>
        <w:ind w:firstLine="708"/>
        <w:jc w:val="both"/>
        <w:rPr>
          <w:rFonts w:cs="Arial"/>
          <w:b/>
          <w:sz w:val="22"/>
          <w:szCs w:val="22"/>
        </w:rPr>
      </w:pPr>
    </w:p>
    <w:p w14:paraId="569F202F" w14:textId="77777777" w:rsidR="00A640B5" w:rsidRPr="000B2B5E" w:rsidRDefault="00A640B5" w:rsidP="00022C96">
      <w:pPr>
        <w:ind w:firstLine="708"/>
        <w:jc w:val="both"/>
        <w:rPr>
          <w:rFonts w:cs="Arial"/>
          <w:b/>
          <w:sz w:val="22"/>
          <w:szCs w:val="22"/>
        </w:rPr>
      </w:pPr>
    </w:p>
    <w:p w14:paraId="0C3977A8" w14:textId="77777777" w:rsidR="00A640B5" w:rsidRPr="000B2B5E" w:rsidRDefault="00A640B5" w:rsidP="00022C96">
      <w:pPr>
        <w:ind w:firstLine="708"/>
        <w:jc w:val="both"/>
        <w:rPr>
          <w:rFonts w:cs="Arial"/>
          <w:b/>
          <w:sz w:val="22"/>
          <w:szCs w:val="22"/>
        </w:rPr>
      </w:pPr>
    </w:p>
    <w:p w14:paraId="69609643" w14:textId="77777777" w:rsidR="00A640B5" w:rsidRPr="000B2B5E" w:rsidRDefault="00A640B5" w:rsidP="00022C96">
      <w:pPr>
        <w:ind w:firstLine="708"/>
        <w:jc w:val="both"/>
        <w:rPr>
          <w:rFonts w:cs="Arial"/>
          <w:b/>
          <w:sz w:val="22"/>
          <w:szCs w:val="22"/>
        </w:rPr>
      </w:pPr>
    </w:p>
    <w:p w14:paraId="52008025" w14:textId="77777777" w:rsidR="00A640B5" w:rsidRPr="000B2B5E" w:rsidRDefault="00A640B5" w:rsidP="00022C96">
      <w:pPr>
        <w:ind w:firstLine="708"/>
        <w:jc w:val="both"/>
        <w:rPr>
          <w:rFonts w:cs="Arial"/>
          <w:b/>
          <w:sz w:val="22"/>
          <w:szCs w:val="22"/>
        </w:rPr>
      </w:pPr>
    </w:p>
    <w:p w14:paraId="13EB5D22" w14:textId="2B1312CA" w:rsidR="00022C96" w:rsidRPr="000B2B5E" w:rsidRDefault="00022C96" w:rsidP="00022C96">
      <w:pPr>
        <w:ind w:firstLine="708"/>
        <w:jc w:val="both"/>
        <w:rPr>
          <w:rFonts w:cs="Arial"/>
          <w:b/>
          <w:sz w:val="22"/>
          <w:szCs w:val="22"/>
        </w:rPr>
      </w:pPr>
      <w:r w:rsidRPr="000B2B5E">
        <w:rPr>
          <w:rFonts w:cs="Arial"/>
          <w:b/>
          <w:sz w:val="22"/>
          <w:szCs w:val="22"/>
        </w:rPr>
        <w:t>________________________________</w:t>
      </w:r>
      <w:r w:rsidR="00A640B5" w:rsidRPr="000B2B5E">
        <w:rPr>
          <w:rFonts w:cs="Arial"/>
          <w:b/>
          <w:sz w:val="22"/>
          <w:szCs w:val="22"/>
        </w:rPr>
        <w:t>___</w:t>
      </w:r>
    </w:p>
    <w:p w14:paraId="4760AA55" w14:textId="780093D2" w:rsidR="00D05B67" w:rsidRPr="000B2B5E" w:rsidRDefault="00AA19F5" w:rsidP="00696582">
      <w:pPr>
        <w:pStyle w:val="ColorfulList-Accent11"/>
        <w:rPr>
          <w:rFonts w:ascii="Arial" w:hAnsi="Arial" w:cs="Arial"/>
          <w:b/>
        </w:rPr>
      </w:pPr>
      <w:r w:rsidRPr="000B2B5E">
        <w:rPr>
          <w:rFonts w:ascii="Arial" w:hAnsi="Arial" w:cs="Arial"/>
          <w:b/>
        </w:rPr>
        <w:t>Iván Daniel Jaramillo Jassir</w:t>
      </w:r>
    </w:p>
    <w:p w14:paraId="0C772C7E" w14:textId="7B64D0D3" w:rsidR="00AA19F5" w:rsidRPr="000B2B5E" w:rsidRDefault="00AA19F5" w:rsidP="00696582">
      <w:pPr>
        <w:pStyle w:val="ColorfulList-Accent11"/>
        <w:rPr>
          <w:rFonts w:ascii="Arial" w:hAnsi="Arial" w:cs="Arial"/>
          <w:b/>
        </w:rPr>
      </w:pPr>
      <w:r w:rsidRPr="000B2B5E">
        <w:rPr>
          <w:rFonts w:ascii="Arial" w:hAnsi="Arial" w:cs="Arial"/>
          <w:b/>
        </w:rPr>
        <w:t>Viceministro de Empleo y Pensiones</w:t>
      </w:r>
    </w:p>
    <w:p w14:paraId="62735592" w14:textId="77777777" w:rsidR="00022C96" w:rsidRPr="000B2B5E" w:rsidRDefault="00022C96" w:rsidP="00022C96">
      <w:pPr>
        <w:ind w:firstLine="708"/>
        <w:jc w:val="both"/>
        <w:rPr>
          <w:rFonts w:cs="Arial"/>
          <w:b/>
          <w:sz w:val="22"/>
          <w:szCs w:val="22"/>
        </w:rPr>
      </w:pPr>
    </w:p>
    <w:p w14:paraId="36D4ECF2" w14:textId="77777777" w:rsidR="00A640B5" w:rsidRPr="000B2B5E" w:rsidRDefault="00A640B5" w:rsidP="00A640B5">
      <w:pPr>
        <w:jc w:val="both"/>
        <w:rPr>
          <w:rFonts w:cs="Arial"/>
          <w:b/>
          <w:sz w:val="22"/>
          <w:szCs w:val="22"/>
        </w:rPr>
      </w:pPr>
    </w:p>
    <w:p w14:paraId="165FF954" w14:textId="77777777" w:rsidR="00A640B5" w:rsidRPr="000B2B5E" w:rsidRDefault="00A640B5" w:rsidP="00022C96">
      <w:pPr>
        <w:ind w:firstLine="708"/>
        <w:jc w:val="both"/>
        <w:rPr>
          <w:rFonts w:cs="Arial"/>
          <w:b/>
          <w:sz w:val="22"/>
          <w:szCs w:val="22"/>
        </w:rPr>
      </w:pPr>
    </w:p>
    <w:p w14:paraId="6767E7F1" w14:textId="77777777" w:rsidR="00A640B5" w:rsidRPr="000B2B5E" w:rsidRDefault="00A640B5" w:rsidP="00022C96">
      <w:pPr>
        <w:ind w:firstLine="708"/>
        <w:jc w:val="both"/>
        <w:rPr>
          <w:rFonts w:cs="Arial"/>
          <w:b/>
          <w:sz w:val="22"/>
          <w:szCs w:val="22"/>
        </w:rPr>
      </w:pPr>
    </w:p>
    <w:p w14:paraId="7DA6A1F2" w14:textId="6EE6CEC0" w:rsidR="00022C96" w:rsidRPr="000B2B5E" w:rsidRDefault="00022C96" w:rsidP="00022C96">
      <w:pPr>
        <w:ind w:firstLine="708"/>
        <w:jc w:val="both"/>
        <w:rPr>
          <w:rFonts w:cs="Arial"/>
          <w:b/>
          <w:sz w:val="22"/>
          <w:szCs w:val="22"/>
        </w:rPr>
      </w:pPr>
      <w:r w:rsidRPr="000B2B5E">
        <w:rPr>
          <w:rFonts w:cs="Arial"/>
          <w:b/>
          <w:sz w:val="22"/>
          <w:szCs w:val="22"/>
        </w:rPr>
        <w:t>________________________________</w:t>
      </w:r>
      <w:r w:rsidR="00A640B5" w:rsidRPr="000B2B5E">
        <w:rPr>
          <w:rFonts w:cs="Arial"/>
          <w:b/>
          <w:sz w:val="22"/>
          <w:szCs w:val="22"/>
        </w:rPr>
        <w:t>___</w:t>
      </w:r>
    </w:p>
    <w:p w14:paraId="66E4E7EE" w14:textId="77777777" w:rsidR="00A640B5" w:rsidRPr="000B2B5E" w:rsidRDefault="00A640B5" w:rsidP="00A640B5">
      <w:pPr>
        <w:pStyle w:val="ColorfulList-Accent11"/>
        <w:rPr>
          <w:rFonts w:ascii="Arial" w:hAnsi="Arial" w:cs="Arial"/>
          <w:b/>
        </w:rPr>
      </w:pPr>
      <w:r w:rsidRPr="000B2B5E">
        <w:rPr>
          <w:rFonts w:ascii="Arial" w:hAnsi="Arial" w:cs="Arial"/>
          <w:b/>
        </w:rPr>
        <w:t xml:space="preserve">Wilmer Andrés Pachón Gonzalez </w:t>
      </w:r>
    </w:p>
    <w:p w14:paraId="7C9FADEE" w14:textId="76A28720" w:rsidR="006779DA" w:rsidRPr="000B2B5E" w:rsidRDefault="00A640B5" w:rsidP="00A640B5">
      <w:pPr>
        <w:pStyle w:val="ColorfulList-Accent11"/>
        <w:rPr>
          <w:rFonts w:ascii="Arial" w:hAnsi="Arial" w:cs="Arial"/>
          <w:b/>
        </w:rPr>
      </w:pPr>
      <w:r w:rsidRPr="000B2B5E">
        <w:rPr>
          <w:rFonts w:ascii="Arial" w:hAnsi="Arial" w:cs="Arial"/>
          <w:b/>
        </w:rPr>
        <w:t>Jefe de la Oficina Asesora Jurídica</w:t>
      </w:r>
    </w:p>
    <w:sectPr w:rsidR="006779DA" w:rsidRPr="000B2B5E" w:rsidSect="0069658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FE4" w14:textId="77777777" w:rsidR="00622124" w:rsidRDefault="00622124">
      <w:r>
        <w:separator/>
      </w:r>
    </w:p>
  </w:endnote>
  <w:endnote w:type="continuationSeparator" w:id="0">
    <w:p w14:paraId="69AEF73F" w14:textId="77777777" w:rsidR="00622124" w:rsidRDefault="0062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9E15" w14:textId="77777777" w:rsidR="00947237" w:rsidRDefault="009472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8F7C" w14:textId="77777777" w:rsidR="00836C6A" w:rsidRDefault="00836C6A">
    <w:pPr>
      <w:pStyle w:val="Piedepgina"/>
      <w:jc w:val="right"/>
    </w:pPr>
    <w:r>
      <w:fldChar w:fldCharType="begin"/>
    </w:r>
    <w:r w:rsidR="000C5964">
      <w:instrText>PAGE</w:instrText>
    </w:r>
    <w:r>
      <w:instrText xml:space="preserve">   \* MERGEFORMAT</w:instrText>
    </w:r>
    <w:r>
      <w:fldChar w:fldCharType="separate"/>
    </w:r>
    <w:r w:rsidR="00C7145D">
      <w:rPr>
        <w:noProof/>
      </w:rPr>
      <w:t>2</w:t>
    </w:r>
    <w:r>
      <w:fldChar w:fldCharType="end"/>
    </w:r>
  </w:p>
  <w:p w14:paraId="53226DA6" w14:textId="77777777" w:rsidR="00F07A7D" w:rsidRPr="0084294E" w:rsidRDefault="00F07A7D" w:rsidP="00FA4A9E">
    <w:pPr>
      <w:pStyle w:val="Piedepgina"/>
      <w:jc w:val="center"/>
      <w:rPr>
        <w:sz w:val="18"/>
        <w:szCs w:val="18"/>
        <w:lang w:val="es-C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E3F0" w14:textId="77777777" w:rsidR="00947237" w:rsidRDefault="009472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CEE2" w14:textId="77777777" w:rsidR="00622124" w:rsidRDefault="00622124">
      <w:r>
        <w:separator/>
      </w:r>
    </w:p>
  </w:footnote>
  <w:footnote w:type="continuationSeparator" w:id="0">
    <w:p w14:paraId="63598141" w14:textId="77777777" w:rsidR="00622124" w:rsidRDefault="00622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DBEF" w14:textId="77777777" w:rsidR="00947237" w:rsidRDefault="009472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6142"/>
    </w:tblGrid>
    <w:tr w:rsidR="00696582" w14:paraId="48448516" w14:textId="77777777" w:rsidTr="001447C1">
      <w:tc>
        <w:tcPr>
          <w:tcW w:w="4253" w:type="dxa"/>
          <w:shd w:val="clear" w:color="auto" w:fill="auto"/>
        </w:tcPr>
        <w:p w14:paraId="432B8AB7" w14:textId="27E871BB" w:rsidR="00696582" w:rsidRDefault="00011FFA" w:rsidP="001447C1">
          <w:pPr>
            <w:pStyle w:val="Encabezado"/>
          </w:pPr>
          <w:r w:rsidRPr="00ED5B41">
            <w:rPr>
              <w:noProof/>
            </w:rPr>
            <w:drawing>
              <wp:inline distT="0" distB="0" distL="0" distR="0" wp14:anchorId="1B5FE642" wp14:editId="491124DA">
                <wp:extent cx="2816352" cy="531701"/>
                <wp:effectExtent l="0" t="0" r="317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266607" name=""/>
                        <pic:cNvPicPr/>
                      </pic:nvPicPr>
                      <pic:blipFill>
                        <a:blip r:embed="rId1"/>
                        <a:stretch>
                          <a:fillRect/>
                        </a:stretch>
                      </pic:blipFill>
                      <pic:spPr>
                        <a:xfrm>
                          <a:off x="0" y="0"/>
                          <a:ext cx="2833377" cy="534915"/>
                        </a:xfrm>
                        <a:prstGeom prst="rect">
                          <a:avLst/>
                        </a:prstGeom>
                      </pic:spPr>
                    </pic:pic>
                  </a:graphicData>
                </a:graphic>
              </wp:inline>
            </w:drawing>
          </w:r>
        </w:p>
      </w:tc>
      <w:tc>
        <w:tcPr>
          <w:tcW w:w="6545" w:type="dxa"/>
          <w:shd w:val="clear" w:color="auto" w:fill="auto"/>
          <w:vAlign w:val="center"/>
        </w:tcPr>
        <w:p w14:paraId="787554D6" w14:textId="77777777" w:rsidR="00696582" w:rsidRDefault="00696582" w:rsidP="001447C1">
          <w:pPr>
            <w:pStyle w:val="Ttulo2"/>
            <w:ind w:left="72" w:right="72"/>
          </w:pPr>
          <w:r w:rsidRPr="00FD3D04">
            <w:rPr>
              <w:rFonts w:cs="Arial"/>
              <w:bCs/>
              <w:color w:val="000000"/>
              <w:sz w:val="24"/>
              <w:szCs w:val="24"/>
            </w:rPr>
            <w:t>FORMATO MEMORIA JUSTIFICATIVA</w:t>
          </w:r>
        </w:p>
      </w:tc>
    </w:tr>
  </w:tbl>
  <w:sdt>
    <w:sdtPr>
      <w:id w:val="-1195845234"/>
      <w:docPartObj>
        <w:docPartGallery w:val="Watermarks"/>
        <w:docPartUnique/>
      </w:docPartObj>
    </w:sdtPr>
    <w:sdtContent>
      <w:p w14:paraId="07B273D6" w14:textId="524C837A" w:rsidR="00F07A7D" w:rsidRDefault="00000000">
        <w:pPr>
          <w:pStyle w:val="Encabezado"/>
        </w:pPr>
        <w:r>
          <w:pict w14:anchorId="2B56A0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1808720" o:spid="_x0000_s1026" type="#_x0000_t136" style="position:absolute;margin-left:0;margin-top:0;width:453.1pt;height:169.9pt;rotation:315;z-index:-251658752;mso-position-horizontal:center;mso-position-horizontal-relative:margin;mso-position-vertical:center;mso-position-vertical-relative:margin" o:allowincell="f" fillcolor="#747070 [1614]"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6142"/>
    </w:tblGrid>
    <w:tr w:rsidR="00350767" w14:paraId="5B5262B2" w14:textId="77777777" w:rsidTr="00FD3D04">
      <w:tc>
        <w:tcPr>
          <w:tcW w:w="4253" w:type="dxa"/>
          <w:shd w:val="clear" w:color="auto" w:fill="auto"/>
        </w:tcPr>
        <w:p w14:paraId="16A3EFF1" w14:textId="47BC677F" w:rsidR="00350767" w:rsidRDefault="00862AD4">
          <w:pPr>
            <w:pStyle w:val="Encabezado"/>
          </w:pPr>
          <w:r w:rsidRPr="00ED5B41">
            <w:rPr>
              <w:noProof/>
            </w:rPr>
            <w:drawing>
              <wp:inline distT="0" distB="0" distL="0" distR="0" wp14:anchorId="21DB5765" wp14:editId="31DBAEC0">
                <wp:extent cx="2816352" cy="531701"/>
                <wp:effectExtent l="0" t="0" r="3175" b="1905"/>
                <wp:docPr id="120526660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266607" name=""/>
                        <pic:cNvPicPr/>
                      </pic:nvPicPr>
                      <pic:blipFill>
                        <a:blip r:embed="rId1"/>
                        <a:stretch>
                          <a:fillRect/>
                        </a:stretch>
                      </pic:blipFill>
                      <pic:spPr>
                        <a:xfrm>
                          <a:off x="0" y="0"/>
                          <a:ext cx="2833377" cy="534915"/>
                        </a:xfrm>
                        <a:prstGeom prst="rect">
                          <a:avLst/>
                        </a:prstGeom>
                      </pic:spPr>
                    </pic:pic>
                  </a:graphicData>
                </a:graphic>
              </wp:inline>
            </w:drawing>
          </w:r>
        </w:p>
      </w:tc>
      <w:tc>
        <w:tcPr>
          <w:tcW w:w="6545" w:type="dxa"/>
          <w:shd w:val="clear" w:color="auto" w:fill="auto"/>
          <w:vAlign w:val="center"/>
        </w:tcPr>
        <w:p w14:paraId="2A38AD05" w14:textId="77777777" w:rsidR="00350767" w:rsidRDefault="00350767" w:rsidP="00FD3D04">
          <w:pPr>
            <w:pStyle w:val="Ttulo2"/>
            <w:ind w:left="72" w:right="72"/>
          </w:pPr>
          <w:r w:rsidRPr="00FD3D04">
            <w:rPr>
              <w:rFonts w:cs="Arial"/>
              <w:bCs/>
              <w:color w:val="000000"/>
              <w:sz w:val="24"/>
              <w:szCs w:val="24"/>
            </w:rPr>
            <w:t>FORMATO MEMORIA JUSTIFICATIVA</w:t>
          </w:r>
        </w:p>
      </w:tc>
    </w:tr>
  </w:tbl>
  <w:p w14:paraId="02A12441" w14:textId="77777777" w:rsidR="00350767" w:rsidRDefault="003507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1F71"/>
    <w:multiLevelType w:val="hybridMultilevel"/>
    <w:tmpl w:val="E22093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717426"/>
    <w:multiLevelType w:val="hybridMultilevel"/>
    <w:tmpl w:val="00B448A8"/>
    <w:lvl w:ilvl="0" w:tplc="07C45AC0">
      <w:start w:val="3"/>
      <w:numFmt w:val="bullet"/>
      <w:lvlText w:val="-"/>
      <w:lvlJc w:val="left"/>
      <w:pPr>
        <w:ind w:left="360" w:hanging="360"/>
      </w:pPr>
      <w:rPr>
        <w:rFonts w:ascii="Arial Narrow" w:eastAsia="Times New Roman"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9937E34"/>
    <w:multiLevelType w:val="hybridMultilevel"/>
    <w:tmpl w:val="EBC2F2E6"/>
    <w:lvl w:ilvl="0" w:tplc="D3C24856">
      <w:numFmt w:val="bullet"/>
      <w:lvlText w:val="-"/>
      <w:lvlJc w:val="left"/>
      <w:pPr>
        <w:ind w:left="360" w:hanging="360"/>
      </w:pPr>
      <w:rPr>
        <w:rFonts w:ascii="Arial" w:eastAsia="Arial Unicode MS" w:hAnsi="Arial" w:cs="Arial" w:hint="default"/>
      </w:rPr>
    </w:lvl>
    <w:lvl w:ilvl="1" w:tplc="240A000D">
      <w:start w:val="1"/>
      <w:numFmt w:val="bullet"/>
      <w:lvlText w:val=""/>
      <w:lvlJc w:val="left"/>
      <w:pPr>
        <w:ind w:left="1080" w:hanging="360"/>
      </w:pPr>
      <w:rPr>
        <w:rFonts w:ascii="Wingdings" w:hAnsi="Wingdings"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3" w15:restartNumberingAfterBreak="0">
    <w:nsid w:val="0DE945B7"/>
    <w:multiLevelType w:val="hybridMultilevel"/>
    <w:tmpl w:val="9BA8E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7F2FD2"/>
    <w:multiLevelType w:val="hybridMultilevel"/>
    <w:tmpl w:val="23780C54"/>
    <w:lvl w:ilvl="0" w:tplc="7122AF36">
      <w:start w:val="1"/>
      <w:numFmt w:val="decimal"/>
      <w:lvlText w:val="%1."/>
      <w:lvlJc w:val="left"/>
      <w:pPr>
        <w:ind w:left="720" w:hanging="360"/>
      </w:pPr>
      <w:rPr>
        <w:rFonts w:ascii="Arial" w:eastAsia="Calibri" w:hAnsi="Arial" w:cs="Arial"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78D43E1"/>
    <w:multiLevelType w:val="hybridMultilevel"/>
    <w:tmpl w:val="3E3C0C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0077F4"/>
    <w:multiLevelType w:val="hybridMultilevel"/>
    <w:tmpl w:val="471ED7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B331E40"/>
    <w:multiLevelType w:val="hybridMultilevel"/>
    <w:tmpl w:val="7EB8E8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225D5"/>
    <w:multiLevelType w:val="hybridMultilevel"/>
    <w:tmpl w:val="2752FB6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15:restartNumberingAfterBreak="0">
    <w:nsid w:val="1F7F7418"/>
    <w:multiLevelType w:val="hybridMultilevel"/>
    <w:tmpl w:val="561034C0"/>
    <w:lvl w:ilvl="0" w:tplc="C688F99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5CC3AAB"/>
    <w:multiLevelType w:val="hybridMultilevel"/>
    <w:tmpl w:val="C72A38F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E30D56"/>
    <w:multiLevelType w:val="hybridMultilevel"/>
    <w:tmpl w:val="B512F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C7D6525"/>
    <w:multiLevelType w:val="hybridMultilevel"/>
    <w:tmpl w:val="14323D5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FC438A4"/>
    <w:multiLevelType w:val="hybridMultilevel"/>
    <w:tmpl w:val="CC544A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917AA6"/>
    <w:multiLevelType w:val="hybridMultilevel"/>
    <w:tmpl w:val="78BE8B20"/>
    <w:lvl w:ilvl="0" w:tplc="D10EA2F8">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8333F05"/>
    <w:multiLevelType w:val="hybridMultilevel"/>
    <w:tmpl w:val="DBDC35E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96341FF"/>
    <w:multiLevelType w:val="multilevel"/>
    <w:tmpl w:val="078847B8"/>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A7C7321"/>
    <w:multiLevelType w:val="hybridMultilevel"/>
    <w:tmpl w:val="EF704034"/>
    <w:lvl w:ilvl="0" w:tplc="3AAE91AA">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F32023"/>
    <w:multiLevelType w:val="hybridMultilevel"/>
    <w:tmpl w:val="E91C69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0A3792D"/>
    <w:multiLevelType w:val="hybridMultilevel"/>
    <w:tmpl w:val="1150A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9127B63"/>
    <w:multiLevelType w:val="hybridMultilevel"/>
    <w:tmpl w:val="7BC80F2C"/>
    <w:lvl w:ilvl="0" w:tplc="FFFFFFFF">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FE38A9"/>
    <w:multiLevelType w:val="hybridMultilevel"/>
    <w:tmpl w:val="B6C654B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4D811299"/>
    <w:multiLevelType w:val="hybridMultilevel"/>
    <w:tmpl w:val="4CAE1F3E"/>
    <w:lvl w:ilvl="0" w:tplc="C5F83004">
      <w:start w:val="1440"/>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820AD0"/>
    <w:multiLevelType w:val="hybridMultilevel"/>
    <w:tmpl w:val="44084084"/>
    <w:lvl w:ilvl="0" w:tplc="240A000D">
      <w:start w:val="1"/>
      <w:numFmt w:val="bullet"/>
      <w:lvlText w:val=""/>
      <w:lvlJc w:val="left"/>
      <w:pPr>
        <w:ind w:left="-1020" w:hanging="360"/>
      </w:pPr>
      <w:rPr>
        <w:rFonts w:ascii="Wingdings" w:hAnsi="Wingdings" w:hint="default"/>
      </w:rPr>
    </w:lvl>
    <w:lvl w:ilvl="1" w:tplc="240A0003" w:tentative="1">
      <w:start w:val="1"/>
      <w:numFmt w:val="bullet"/>
      <w:lvlText w:val="o"/>
      <w:lvlJc w:val="left"/>
      <w:pPr>
        <w:ind w:left="-300" w:hanging="360"/>
      </w:pPr>
      <w:rPr>
        <w:rFonts w:ascii="Courier New" w:hAnsi="Courier New" w:cs="Courier New" w:hint="default"/>
      </w:rPr>
    </w:lvl>
    <w:lvl w:ilvl="2" w:tplc="240A0005" w:tentative="1">
      <w:start w:val="1"/>
      <w:numFmt w:val="bullet"/>
      <w:lvlText w:val=""/>
      <w:lvlJc w:val="left"/>
      <w:pPr>
        <w:ind w:left="420" w:hanging="360"/>
      </w:pPr>
      <w:rPr>
        <w:rFonts w:ascii="Wingdings" w:hAnsi="Wingdings" w:hint="default"/>
      </w:rPr>
    </w:lvl>
    <w:lvl w:ilvl="3" w:tplc="240A0001" w:tentative="1">
      <w:start w:val="1"/>
      <w:numFmt w:val="bullet"/>
      <w:lvlText w:val=""/>
      <w:lvlJc w:val="left"/>
      <w:pPr>
        <w:ind w:left="1140" w:hanging="360"/>
      </w:pPr>
      <w:rPr>
        <w:rFonts w:ascii="Symbol" w:hAnsi="Symbol" w:hint="default"/>
      </w:rPr>
    </w:lvl>
    <w:lvl w:ilvl="4" w:tplc="240A0003" w:tentative="1">
      <w:start w:val="1"/>
      <w:numFmt w:val="bullet"/>
      <w:lvlText w:val="o"/>
      <w:lvlJc w:val="left"/>
      <w:pPr>
        <w:ind w:left="1860" w:hanging="360"/>
      </w:pPr>
      <w:rPr>
        <w:rFonts w:ascii="Courier New" w:hAnsi="Courier New" w:cs="Courier New" w:hint="default"/>
      </w:rPr>
    </w:lvl>
    <w:lvl w:ilvl="5" w:tplc="240A0005" w:tentative="1">
      <w:start w:val="1"/>
      <w:numFmt w:val="bullet"/>
      <w:lvlText w:val=""/>
      <w:lvlJc w:val="left"/>
      <w:pPr>
        <w:ind w:left="2580" w:hanging="360"/>
      </w:pPr>
      <w:rPr>
        <w:rFonts w:ascii="Wingdings" w:hAnsi="Wingdings" w:hint="default"/>
      </w:rPr>
    </w:lvl>
    <w:lvl w:ilvl="6" w:tplc="240A0001" w:tentative="1">
      <w:start w:val="1"/>
      <w:numFmt w:val="bullet"/>
      <w:lvlText w:val=""/>
      <w:lvlJc w:val="left"/>
      <w:pPr>
        <w:ind w:left="3300" w:hanging="360"/>
      </w:pPr>
      <w:rPr>
        <w:rFonts w:ascii="Symbol" w:hAnsi="Symbol" w:hint="default"/>
      </w:rPr>
    </w:lvl>
    <w:lvl w:ilvl="7" w:tplc="240A0003" w:tentative="1">
      <w:start w:val="1"/>
      <w:numFmt w:val="bullet"/>
      <w:lvlText w:val="o"/>
      <w:lvlJc w:val="left"/>
      <w:pPr>
        <w:ind w:left="4020" w:hanging="360"/>
      </w:pPr>
      <w:rPr>
        <w:rFonts w:ascii="Courier New" w:hAnsi="Courier New" w:cs="Courier New" w:hint="default"/>
      </w:rPr>
    </w:lvl>
    <w:lvl w:ilvl="8" w:tplc="240A0005" w:tentative="1">
      <w:start w:val="1"/>
      <w:numFmt w:val="bullet"/>
      <w:lvlText w:val=""/>
      <w:lvlJc w:val="left"/>
      <w:pPr>
        <w:ind w:left="4740" w:hanging="360"/>
      </w:pPr>
      <w:rPr>
        <w:rFonts w:ascii="Wingdings" w:hAnsi="Wingdings" w:hint="default"/>
      </w:rPr>
    </w:lvl>
  </w:abstractNum>
  <w:abstractNum w:abstractNumId="26" w15:restartNumberingAfterBreak="0">
    <w:nsid w:val="55612A01"/>
    <w:multiLevelType w:val="hybridMultilevel"/>
    <w:tmpl w:val="516C2342"/>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7" w15:restartNumberingAfterBreak="0">
    <w:nsid w:val="56C63FAB"/>
    <w:multiLevelType w:val="hybridMultilevel"/>
    <w:tmpl w:val="4B266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988006D"/>
    <w:multiLevelType w:val="hybridMultilevel"/>
    <w:tmpl w:val="1F986C7A"/>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9" w15:restartNumberingAfterBreak="0">
    <w:nsid w:val="599274BB"/>
    <w:multiLevelType w:val="hybridMultilevel"/>
    <w:tmpl w:val="19B6D6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5AC27BD1"/>
    <w:multiLevelType w:val="hybridMultilevel"/>
    <w:tmpl w:val="B00A2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D4163EC"/>
    <w:multiLevelType w:val="hybridMultilevel"/>
    <w:tmpl w:val="2B166F1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2" w15:restartNumberingAfterBreak="0">
    <w:nsid w:val="5F423FF4"/>
    <w:multiLevelType w:val="multilevel"/>
    <w:tmpl w:val="60C2505A"/>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60682FB7"/>
    <w:multiLevelType w:val="hybridMultilevel"/>
    <w:tmpl w:val="6EB8E7D0"/>
    <w:lvl w:ilvl="0" w:tplc="0C0A000F">
      <w:start w:val="1"/>
      <w:numFmt w:val="decimal"/>
      <w:lvlText w:val="%1."/>
      <w:lvlJc w:val="left"/>
      <w:pPr>
        <w:tabs>
          <w:tab w:val="num" w:pos="720"/>
        </w:tabs>
        <w:ind w:left="720" w:hanging="36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0A438E4"/>
    <w:multiLevelType w:val="hybridMultilevel"/>
    <w:tmpl w:val="1602CE3A"/>
    <w:lvl w:ilvl="0" w:tplc="BB08A936">
      <w:numFmt w:val="bullet"/>
      <w:lvlText w:val="-"/>
      <w:lvlJc w:val="left"/>
      <w:pPr>
        <w:ind w:left="322" w:hanging="360"/>
      </w:pPr>
      <w:rPr>
        <w:rFonts w:ascii="Arial" w:eastAsia="Times" w:hAnsi="Arial" w:cs="Arial" w:hint="default"/>
      </w:rPr>
    </w:lvl>
    <w:lvl w:ilvl="1" w:tplc="240A0003" w:tentative="1">
      <w:start w:val="1"/>
      <w:numFmt w:val="bullet"/>
      <w:lvlText w:val="o"/>
      <w:lvlJc w:val="left"/>
      <w:pPr>
        <w:ind w:left="1042" w:hanging="360"/>
      </w:pPr>
      <w:rPr>
        <w:rFonts w:ascii="Courier New" w:hAnsi="Courier New" w:cs="Courier New" w:hint="default"/>
      </w:rPr>
    </w:lvl>
    <w:lvl w:ilvl="2" w:tplc="240A0005" w:tentative="1">
      <w:start w:val="1"/>
      <w:numFmt w:val="bullet"/>
      <w:lvlText w:val=""/>
      <w:lvlJc w:val="left"/>
      <w:pPr>
        <w:ind w:left="1762" w:hanging="360"/>
      </w:pPr>
      <w:rPr>
        <w:rFonts w:ascii="Wingdings" w:hAnsi="Wingdings" w:hint="default"/>
      </w:rPr>
    </w:lvl>
    <w:lvl w:ilvl="3" w:tplc="240A0001" w:tentative="1">
      <w:start w:val="1"/>
      <w:numFmt w:val="bullet"/>
      <w:lvlText w:val=""/>
      <w:lvlJc w:val="left"/>
      <w:pPr>
        <w:ind w:left="2482" w:hanging="360"/>
      </w:pPr>
      <w:rPr>
        <w:rFonts w:ascii="Symbol" w:hAnsi="Symbol" w:hint="default"/>
      </w:rPr>
    </w:lvl>
    <w:lvl w:ilvl="4" w:tplc="240A0003" w:tentative="1">
      <w:start w:val="1"/>
      <w:numFmt w:val="bullet"/>
      <w:lvlText w:val="o"/>
      <w:lvlJc w:val="left"/>
      <w:pPr>
        <w:ind w:left="3202" w:hanging="360"/>
      </w:pPr>
      <w:rPr>
        <w:rFonts w:ascii="Courier New" w:hAnsi="Courier New" w:cs="Courier New" w:hint="default"/>
      </w:rPr>
    </w:lvl>
    <w:lvl w:ilvl="5" w:tplc="240A0005" w:tentative="1">
      <w:start w:val="1"/>
      <w:numFmt w:val="bullet"/>
      <w:lvlText w:val=""/>
      <w:lvlJc w:val="left"/>
      <w:pPr>
        <w:ind w:left="3922" w:hanging="360"/>
      </w:pPr>
      <w:rPr>
        <w:rFonts w:ascii="Wingdings" w:hAnsi="Wingdings" w:hint="default"/>
      </w:rPr>
    </w:lvl>
    <w:lvl w:ilvl="6" w:tplc="240A0001" w:tentative="1">
      <w:start w:val="1"/>
      <w:numFmt w:val="bullet"/>
      <w:lvlText w:val=""/>
      <w:lvlJc w:val="left"/>
      <w:pPr>
        <w:ind w:left="4642" w:hanging="360"/>
      </w:pPr>
      <w:rPr>
        <w:rFonts w:ascii="Symbol" w:hAnsi="Symbol" w:hint="default"/>
      </w:rPr>
    </w:lvl>
    <w:lvl w:ilvl="7" w:tplc="240A0003" w:tentative="1">
      <w:start w:val="1"/>
      <w:numFmt w:val="bullet"/>
      <w:lvlText w:val="o"/>
      <w:lvlJc w:val="left"/>
      <w:pPr>
        <w:ind w:left="5362" w:hanging="360"/>
      </w:pPr>
      <w:rPr>
        <w:rFonts w:ascii="Courier New" w:hAnsi="Courier New" w:cs="Courier New" w:hint="default"/>
      </w:rPr>
    </w:lvl>
    <w:lvl w:ilvl="8" w:tplc="240A0005" w:tentative="1">
      <w:start w:val="1"/>
      <w:numFmt w:val="bullet"/>
      <w:lvlText w:val=""/>
      <w:lvlJc w:val="left"/>
      <w:pPr>
        <w:ind w:left="6082" w:hanging="360"/>
      </w:pPr>
      <w:rPr>
        <w:rFonts w:ascii="Wingdings" w:hAnsi="Wingdings" w:hint="default"/>
      </w:rPr>
    </w:lvl>
  </w:abstractNum>
  <w:abstractNum w:abstractNumId="35" w15:restartNumberingAfterBreak="0">
    <w:nsid w:val="64573526"/>
    <w:multiLevelType w:val="hybridMultilevel"/>
    <w:tmpl w:val="665E973A"/>
    <w:lvl w:ilvl="0" w:tplc="2C08755A">
      <w:start w:val="1"/>
      <w:numFmt w:val="bullet"/>
      <w:lvlText w:val="•"/>
      <w:lvlJc w:val="left"/>
      <w:pPr>
        <w:tabs>
          <w:tab w:val="num" w:pos="999"/>
        </w:tabs>
        <w:ind w:left="999" w:hanging="360"/>
      </w:pPr>
      <w:rPr>
        <w:rFonts w:ascii="Arial" w:hAnsi="Arial" w:hint="default"/>
      </w:rPr>
    </w:lvl>
    <w:lvl w:ilvl="1" w:tplc="5AD0665A" w:tentative="1">
      <w:start w:val="1"/>
      <w:numFmt w:val="bullet"/>
      <w:lvlText w:val="•"/>
      <w:lvlJc w:val="left"/>
      <w:pPr>
        <w:tabs>
          <w:tab w:val="num" w:pos="1719"/>
        </w:tabs>
        <w:ind w:left="1719" w:hanging="360"/>
      </w:pPr>
      <w:rPr>
        <w:rFonts w:ascii="Arial" w:hAnsi="Arial" w:hint="default"/>
      </w:rPr>
    </w:lvl>
    <w:lvl w:ilvl="2" w:tplc="2AD44A04" w:tentative="1">
      <w:start w:val="1"/>
      <w:numFmt w:val="bullet"/>
      <w:lvlText w:val="•"/>
      <w:lvlJc w:val="left"/>
      <w:pPr>
        <w:tabs>
          <w:tab w:val="num" w:pos="2439"/>
        </w:tabs>
        <w:ind w:left="2439" w:hanging="360"/>
      </w:pPr>
      <w:rPr>
        <w:rFonts w:ascii="Arial" w:hAnsi="Arial" w:hint="default"/>
      </w:rPr>
    </w:lvl>
    <w:lvl w:ilvl="3" w:tplc="07082974" w:tentative="1">
      <w:start w:val="1"/>
      <w:numFmt w:val="bullet"/>
      <w:lvlText w:val="•"/>
      <w:lvlJc w:val="left"/>
      <w:pPr>
        <w:tabs>
          <w:tab w:val="num" w:pos="3159"/>
        </w:tabs>
        <w:ind w:left="3159" w:hanging="360"/>
      </w:pPr>
      <w:rPr>
        <w:rFonts w:ascii="Arial" w:hAnsi="Arial" w:hint="default"/>
      </w:rPr>
    </w:lvl>
    <w:lvl w:ilvl="4" w:tplc="CD76DC7C" w:tentative="1">
      <w:start w:val="1"/>
      <w:numFmt w:val="bullet"/>
      <w:lvlText w:val="•"/>
      <w:lvlJc w:val="left"/>
      <w:pPr>
        <w:tabs>
          <w:tab w:val="num" w:pos="3879"/>
        </w:tabs>
        <w:ind w:left="3879" w:hanging="360"/>
      </w:pPr>
      <w:rPr>
        <w:rFonts w:ascii="Arial" w:hAnsi="Arial" w:hint="default"/>
      </w:rPr>
    </w:lvl>
    <w:lvl w:ilvl="5" w:tplc="3D28A6E6" w:tentative="1">
      <w:start w:val="1"/>
      <w:numFmt w:val="bullet"/>
      <w:lvlText w:val="•"/>
      <w:lvlJc w:val="left"/>
      <w:pPr>
        <w:tabs>
          <w:tab w:val="num" w:pos="4599"/>
        </w:tabs>
        <w:ind w:left="4599" w:hanging="360"/>
      </w:pPr>
      <w:rPr>
        <w:rFonts w:ascii="Arial" w:hAnsi="Arial" w:hint="default"/>
      </w:rPr>
    </w:lvl>
    <w:lvl w:ilvl="6" w:tplc="590A4E18" w:tentative="1">
      <w:start w:val="1"/>
      <w:numFmt w:val="bullet"/>
      <w:lvlText w:val="•"/>
      <w:lvlJc w:val="left"/>
      <w:pPr>
        <w:tabs>
          <w:tab w:val="num" w:pos="5319"/>
        </w:tabs>
        <w:ind w:left="5319" w:hanging="360"/>
      </w:pPr>
      <w:rPr>
        <w:rFonts w:ascii="Arial" w:hAnsi="Arial" w:hint="default"/>
      </w:rPr>
    </w:lvl>
    <w:lvl w:ilvl="7" w:tplc="56BA76D8" w:tentative="1">
      <w:start w:val="1"/>
      <w:numFmt w:val="bullet"/>
      <w:lvlText w:val="•"/>
      <w:lvlJc w:val="left"/>
      <w:pPr>
        <w:tabs>
          <w:tab w:val="num" w:pos="6039"/>
        </w:tabs>
        <w:ind w:left="6039" w:hanging="360"/>
      </w:pPr>
      <w:rPr>
        <w:rFonts w:ascii="Arial" w:hAnsi="Arial" w:hint="default"/>
      </w:rPr>
    </w:lvl>
    <w:lvl w:ilvl="8" w:tplc="D56AD64E" w:tentative="1">
      <w:start w:val="1"/>
      <w:numFmt w:val="bullet"/>
      <w:lvlText w:val="•"/>
      <w:lvlJc w:val="left"/>
      <w:pPr>
        <w:tabs>
          <w:tab w:val="num" w:pos="6759"/>
        </w:tabs>
        <w:ind w:left="6759" w:hanging="360"/>
      </w:pPr>
      <w:rPr>
        <w:rFonts w:ascii="Arial" w:hAnsi="Arial" w:hint="default"/>
      </w:rPr>
    </w:lvl>
  </w:abstractNum>
  <w:abstractNum w:abstractNumId="36" w15:restartNumberingAfterBreak="0">
    <w:nsid w:val="65C86972"/>
    <w:multiLevelType w:val="hybridMultilevel"/>
    <w:tmpl w:val="EF60E5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82B19CB"/>
    <w:multiLevelType w:val="hybridMultilevel"/>
    <w:tmpl w:val="359E384C"/>
    <w:lvl w:ilvl="0" w:tplc="48043108">
      <w:start w:val="1"/>
      <w:numFmt w:val="decimal"/>
      <w:lvlText w:val="%1."/>
      <w:lvlJc w:val="left"/>
      <w:pPr>
        <w:ind w:left="360" w:hanging="360"/>
      </w:pPr>
      <w:rPr>
        <w:strike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8" w15:restartNumberingAfterBreak="0">
    <w:nsid w:val="6AFA48A5"/>
    <w:multiLevelType w:val="hybridMultilevel"/>
    <w:tmpl w:val="3E2221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8547E6"/>
    <w:multiLevelType w:val="hybridMultilevel"/>
    <w:tmpl w:val="9F3404D0"/>
    <w:lvl w:ilvl="0" w:tplc="89D2AEF6">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DFA64E9"/>
    <w:multiLevelType w:val="hybridMultilevel"/>
    <w:tmpl w:val="70E22AB2"/>
    <w:lvl w:ilvl="0" w:tplc="645EFEFA">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074639D"/>
    <w:multiLevelType w:val="hybridMultilevel"/>
    <w:tmpl w:val="F692C1A2"/>
    <w:lvl w:ilvl="0" w:tplc="240A000D">
      <w:start w:val="1"/>
      <w:numFmt w:val="bullet"/>
      <w:lvlText w:val=""/>
      <w:lvlJc w:val="left"/>
      <w:pPr>
        <w:ind w:left="1500" w:hanging="360"/>
      </w:pPr>
      <w:rPr>
        <w:rFonts w:ascii="Wingdings" w:hAnsi="Wingdings" w:hint="default"/>
      </w:rPr>
    </w:lvl>
    <w:lvl w:ilvl="1" w:tplc="240A0003">
      <w:start w:val="1"/>
      <w:numFmt w:val="bullet"/>
      <w:lvlText w:val="o"/>
      <w:lvlJc w:val="left"/>
      <w:pPr>
        <w:ind w:left="2220" w:hanging="360"/>
      </w:pPr>
      <w:rPr>
        <w:rFonts w:ascii="Courier New" w:hAnsi="Courier New" w:cs="Courier New" w:hint="default"/>
      </w:rPr>
    </w:lvl>
    <w:lvl w:ilvl="2" w:tplc="240A0005">
      <w:start w:val="1"/>
      <w:numFmt w:val="bullet"/>
      <w:lvlText w:val=""/>
      <w:lvlJc w:val="left"/>
      <w:pPr>
        <w:ind w:left="2940" w:hanging="360"/>
      </w:pPr>
      <w:rPr>
        <w:rFonts w:ascii="Wingdings" w:hAnsi="Wingdings" w:hint="default"/>
      </w:rPr>
    </w:lvl>
    <w:lvl w:ilvl="3" w:tplc="240A0001">
      <w:start w:val="1"/>
      <w:numFmt w:val="bullet"/>
      <w:lvlText w:val=""/>
      <w:lvlJc w:val="left"/>
      <w:pPr>
        <w:ind w:left="3660" w:hanging="360"/>
      </w:pPr>
      <w:rPr>
        <w:rFonts w:ascii="Symbol" w:hAnsi="Symbol" w:hint="default"/>
      </w:rPr>
    </w:lvl>
    <w:lvl w:ilvl="4" w:tplc="240A0003">
      <w:start w:val="1"/>
      <w:numFmt w:val="bullet"/>
      <w:lvlText w:val="o"/>
      <w:lvlJc w:val="left"/>
      <w:pPr>
        <w:ind w:left="4380" w:hanging="360"/>
      </w:pPr>
      <w:rPr>
        <w:rFonts w:ascii="Courier New" w:hAnsi="Courier New" w:cs="Courier New" w:hint="default"/>
      </w:rPr>
    </w:lvl>
    <w:lvl w:ilvl="5" w:tplc="240A0005">
      <w:start w:val="1"/>
      <w:numFmt w:val="bullet"/>
      <w:lvlText w:val=""/>
      <w:lvlJc w:val="left"/>
      <w:pPr>
        <w:ind w:left="5100" w:hanging="360"/>
      </w:pPr>
      <w:rPr>
        <w:rFonts w:ascii="Wingdings" w:hAnsi="Wingdings" w:hint="default"/>
      </w:rPr>
    </w:lvl>
    <w:lvl w:ilvl="6" w:tplc="240A0001">
      <w:start w:val="1"/>
      <w:numFmt w:val="bullet"/>
      <w:lvlText w:val=""/>
      <w:lvlJc w:val="left"/>
      <w:pPr>
        <w:ind w:left="5820" w:hanging="360"/>
      </w:pPr>
      <w:rPr>
        <w:rFonts w:ascii="Symbol" w:hAnsi="Symbol" w:hint="default"/>
      </w:rPr>
    </w:lvl>
    <w:lvl w:ilvl="7" w:tplc="240A0003">
      <w:start w:val="1"/>
      <w:numFmt w:val="bullet"/>
      <w:lvlText w:val="o"/>
      <w:lvlJc w:val="left"/>
      <w:pPr>
        <w:ind w:left="6540" w:hanging="360"/>
      </w:pPr>
      <w:rPr>
        <w:rFonts w:ascii="Courier New" w:hAnsi="Courier New" w:cs="Courier New" w:hint="default"/>
      </w:rPr>
    </w:lvl>
    <w:lvl w:ilvl="8" w:tplc="240A0005">
      <w:start w:val="1"/>
      <w:numFmt w:val="bullet"/>
      <w:lvlText w:val=""/>
      <w:lvlJc w:val="left"/>
      <w:pPr>
        <w:ind w:left="7260" w:hanging="360"/>
      </w:pPr>
      <w:rPr>
        <w:rFonts w:ascii="Wingdings" w:hAnsi="Wingdings" w:hint="default"/>
      </w:rPr>
    </w:lvl>
  </w:abstractNum>
  <w:abstractNum w:abstractNumId="42" w15:restartNumberingAfterBreak="0">
    <w:nsid w:val="72044BA6"/>
    <w:multiLevelType w:val="hybridMultilevel"/>
    <w:tmpl w:val="07EEA1E4"/>
    <w:lvl w:ilvl="0" w:tplc="FEE6611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A7813B2"/>
    <w:multiLevelType w:val="hybridMultilevel"/>
    <w:tmpl w:val="C8E461B0"/>
    <w:lvl w:ilvl="0" w:tplc="A26EE73E">
      <w:numFmt w:val="bullet"/>
      <w:lvlText w:val="-"/>
      <w:lvlJc w:val="left"/>
      <w:pPr>
        <w:ind w:left="720" w:hanging="360"/>
      </w:pPr>
      <w:rPr>
        <w:rFonts w:ascii="Calibri" w:eastAsia="Calibri" w:hAnsi="Calibri" w:cs="Calibri" w:hint="default"/>
        <w:sz w:val="24"/>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6960046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7575587">
    <w:abstractNumId w:val="8"/>
  </w:num>
  <w:num w:numId="3" w16cid:durableId="1185093566">
    <w:abstractNumId w:val="38"/>
  </w:num>
  <w:num w:numId="4" w16cid:durableId="2007317995">
    <w:abstractNumId w:val="9"/>
  </w:num>
  <w:num w:numId="5" w16cid:durableId="623270155">
    <w:abstractNumId w:val="17"/>
  </w:num>
  <w:num w:numId="6" w16cid:durableId="1211381341">
    <w:abstractNumId w:val="32"/>
  </w:num>
  <w:num w:numId="7" w16cid:durableId="1176963644">
    <w:abstractNumId w:val="10"/>
  </w:num>
  <w:num w:numId="8" w16cid:durableId="1420105568">
    <w:abstractNumId w:val="18"/>
  </w:num>
  <w:num w:numId="9" w16cid:durableId="1867135026">
    <w:abstractNumId w:val="7"/>
  </w:num>
  <w:num w:numId="10" w16cid:durableId="384791953">
    <w:abstractNumId w:val="22"/>
  </w:num>
  <w:num w:numId="11" w16cid:durableId="193079012">
    <w:abstractNumId w:val="14"/>
  </w:num>
  <w:num w:numId="12" w16cid:durableId="605044708">
    <w:abstractNumId w:val="33"/>
  </w:num>
  <w:num w:numId="13" w16cid:durableId="1492405843">
    <w:abstractNumId w:val="39"/>
  </w:num>
  <w:num w:numId="14" w16cid:durableId="123891174">
    <w:abstractNumId w:val="40"/>
  </w:num>
  <w:num w:numId="15" w16cid:durableId="1708875857">
    <w:abstractNumId w:val="2"/>
  </w:num>
  <w:num w:numId="16" w16cid:durableId="1280336701">
    <w:abstractNumId w:val="23"/>
  </w:num>
  <w:num w:numId="17" w16cid:durableId="1416974729">
    <w:abstractNumId w:val="5"/>
  </w:num>
  <w:num w:numId="18" w16cid:durableId="1048801848">
    <w:abstractNumId w:val="25"/>
  </w:num>
  <w:num w:numId="19" w16cid:durableId="441415790">
    <w:abstractNumId w:val="28"/>
  </w:num>
  <w:num w:numId="20" w16cid:durableId="1524971989">
    <w:abstractNumId w:val="0"/>
  </w:num>
  <w:num w:numId="21" w16cid:durableId="1425489893">
    <w:abstractNumId w:val="11"/>
  </w:num>
  <w:num w:numId="22" w16cid:durableId="2035112050">
    <w:abstractNumId w:val="20"/>
  </w:num>
  <w:num w:numId="23" w16cid:durableId="15719636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1501968">
    <w:abstractNumId w:val="37"/>
  </w:num>
  <w:num w:numId="25" w16cid:durableId="1006597041">
    <w:abstractNumId w:val="12"/>
  </w:num>
  <w:num w:numId="26" w16cid:durableId="619531694">
    <w:abstractNumId w:val="30"/>
  </w:num>
  <w:num w:numId="27" w16cid:durableId="1083455817">
    <w:abstractNumId w:val="27"/>
  </w:num>
  <w:num w:numId="28" w16cid:durableId="1489707082">
    <w:abstractNumId w:val="41"/>
  </w:num>
  <w:num w:numId="29" w16cid:durableId="1589540748">
    <w:abstractNumId w:val="2"/>
  </w:num>
  <w:num w:numId="30" w16cid:durableId="2118985656">
    <w:abstractNumId w:val="43"/>
  </w:num>
  <w:num w:numId="31" w16cid:durableId="1775897414">
    <w:abstractNumId w:val="24"/>
  </w:num>
  <w:num w:numId="32" w16cid:durableId="796948538">
    <w:abstractNumId w:val="36"/>
  </w:num>
  <w:num w:numId="33" w16cid:durableId="158082959">
    <w:abstractNumId w:val="26"/>
  </w:num>
  <w:num w:numId="34" w16cid:durableId="1188837325">
    <w:abstractNumId w:val="35"/>
  </w:num>
  <w:num w:numId="35" w16cid:durableId="1745758211">
    <w:abstractNumId w:val="15"/>
  </w:num>
  <w:num w:numId="36" w16cid:durableId="956064592">
    <w:abstractNumId w:val="6"/>
  </w:num>
  <w:num w:numId="37" w16cid:durableId="799152288">
    <w:abstractNumId w:val="3"/>
  </w:num>
  <w:num w:numId="38" w16cid:durableId="1918711430">
    <w:abstractNumId w:val="29"/>
  </w:num>
  <w:num w:numId="39" w16cid:durableId="1823428421">
    <w:abstractNumId w:val="34"/>
  </w:num>
  <w:num w:numId="40" w16cid:durableId="1431899420">
    <w:abstractNumId w:val="16"/>
  </w:num>
  <w:num w:numId="41" w16cid:durableId="172958884">
    <w:abstractNumId w:val="42"/>
  </w:num>
  <w:num w:numId="42" w16cid:durableId="1897624780">
    <w:abstractNumId w:val="19"/>
  </w:num>
  <w:num w:numId="43" w16cid:durableId="50081208">
    <w:abstractNumId w:val="4"/>
  </w:num>
  <w:num w:numId="44" w16cid:durableId="497038969">
    <w:abstractNumId w:val="13"/>
  </w:num>
  <w:num w:numId="45" w16cid:durableId="130907265">
    <w:abstractNumId w:val="21"/>
  </w:num>
  <w:num w:numId="46" w16cid:durableId="706610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3D24"/>
    <w:rsid w:val="00006F83"/>
    <w:rsid w:val="00007F07"/>
    <w:rsid w:val="00011FFA"/>
    <w:rsid w:val="00013C42"/>
    <w:rsid w:val="00014D67"/>
    <w:rsid w:val="00016A94"/>
    <w:rsid w:val="00021FCC"/>
    <w:rsid w:val="00022C96"/>
    <w:rsid w:val="00024F34"/>
    <w:rsid w:val="0002546A"/>
    <w:rsid w:val="00032CBF"/>
    <w:rsid w:val="0004205E"/>
    <w:rsid w:val="00047A6E"/>
    <w:rsid w:val="00050524"/>
    <w:rsid w:val="00066463"/>
    <w:rsid w:val="0007636F"/>
    <w:rsid w:val="00081CEE"/>
    <w:rsid w:val="00084B49"/>
    <w:rsid w:val="00086B16"/>
    <w:rsid w:val="00092C0A"/>
    <w:rsid w:val="00094D9F"/>
    <w:rsid w:val="000A35DA"/>
    <w:rsid w:val="000A3E34"/>
    <w:rsid w:val="000B2B5E"/>
    <w:rsid w:val="000B30A6"/>
    <w:rsid w:val="000B39C5"/>
    <w:rsid w:val="000B50F1"/>
    <w:rsid w:val="000C41BE"/>
    <w:rsid w:val="000C5964"/>
    <w:rsid w:val="000C614C"/>
    <w:rsid w:val="000C6C52"/>
    <w:rsid w:val="000D1904"/>
    <w:rsid w:val="000D2DA8"/>
    <w:rsid w:val="000D512E"/>
    <w:rsid w:val="000E0152"/>
    <w:rsid w:val="000E370D"/>
    <w:rsid w:val="000E65A4"/>
    <w:rsid w:val="00105533"/>
    <w:rsid w:val="001072FB"/>
    <w:rsid w:val="00116659"/>
    <w:rsid w:val="001175AA"/>
    <w:rsid w:val="00125A3A"/>
    <w:rsid w:val="00126916"/>
    <w:rsid w:val="00126980"/>
    <w:rsid w:val="001303DD"/>
    <w:rsid w:val="001348DA"/>
    <w:rsid w:val="001365B5"/>
    <w:rsid w:val="00136CD0"/>
    <w:rsid w:val="0013737F"/>
    <w:rsid w:val="00142BF2"/>
    <w:rsid w:val="001447C1"/>
    <w:rsid w:val="00145BCA"/>
    <w:rsid w:val="0015216F"/>
    <w:rsid w:val="00153523"/>
    <w:rsid w:val="001565B9"/>
    <w:rsid w:val="00157729"/>
    <w:rsid w:val="00164587"/>
    <w:rsid w:val="001665A3"/>
    <w:rsid w:val="001743EF"/>
    <w:rsid w:val="00174A31"/>
    <w:rsid w:val="00177232"/>
    <w:rsid w:val="00187186"/>
    <w:rsid w:val="001978EB"/>
    <w:rsid w:val="001A2AF1"/>
    <w:rsid w:val="001C013E"/>
    <w:rsid w:val="001D1743"/>
    <w:rsid w:val="001D17CF"/>
    <w:rsid w:val="001D1E75"/>
    <w:rsid w:val="001E2543"/>
    <w:rsid w:val="001E6C60"/>
    <w:rsid w:val="001F238A"/>
    <w:rsid w:val="002171A2"/>
    <w:rsid w:val="002217D1"/>
    <w:rsid w:val="002264B8"/>
    <w:rsid w:val="00232B30"/>
    <w:rsid w:val="00235361"/>
    <w:rsid w:val="00236F62"/>
    <w:rsid w:val="00237D76"/>
    <w:rsid w:val="00251FCE"/>
    <w:rsid w:val="00252F13"/>
    <w:rsid w:val="00254313"/>
    <w:rsid w:val="0026513E"/>
    <w:rsid w:val="002729A5"/>
    <w:rsid w:val="002862C1"/>
    <w:rsid w:val="00286449"/>
    <w:rsid w:val="00287EC3"/>
    <w:rsid w:val="00293F29"/>
    <w:rsid w:val="002941D1"/>
    <w:rsid w:val="002A2A12"/>
    <w:rsid w:val="002C05D0"/>
    <w:rsid w:val="002C6429"/>
    <w:rsid w:val="002D096D"/>
    <w:rsid w:val="002D11FE"/>
    <w:rsid w:val="002D2CB2"/>
    <w:rsid w:val="002D35EC"/>
    <w:rsid w:val="002D3FE3"/>
    <w:rsid w:val="002D5E8B"/>
    <w:rsid w:val="002E4A97"/>
    <w:rsid w:val="002E71C4"/>
    <w:rsid w:val="002F226A"/>
    <w:rsid w:val="00301DC2"/>
    <w:rsid w:val="003227FD"/>
    <w:rsid w:val="00325A55"/>
    <w:rsid w:val="003343DB"/>
    <w:rsid w:val="00336655"/>
    <w:rsid w:val="00342B3C"/>
    <w:rsid w:val="00344A42"/>
    <w:rsid w:val="00346554"/>
    <w:rsid w:val="003503EB"/>
    <w:rsid w:val="00350767"/>
    <w:rsid w:val="00350E4B"/>
    <w:rsid w:val="003533A1"/>
    <w:rsid w:val="003651DE"/>
    <w:rsid w:val="00367CB8"/>
    <w:rsid w:val="003711C0"/>
    <w:rsid w:val="00373197"/>
    <w:rsid w:val="00375C5E"/>
    <w:rsid w:val="0038390A"/>
    <w:rsid w:val="00383AA8"/>
    <w:rsid w:val="003A0BBF"/>
    <w:rsid w:val="003A3C08"/>
    <w:rsid w:val="003A6449"/>
    <w:rsid w:val="003A73D2"/>
    <w:rsid w:val="003B3F46"/>
    <w:rsid w:val="003B4DDE"/>
    <w:rsid w:val="003B625C"/>
    <w:rsid w:val="003C0C28"/>
    <w:rsid w:val="003C0F32"/>
    <w:rsid w:val="003C6CAC"/>
    <w:rsid w:val="003D3516"/>
    <w:rsid w:val="003E1394"/>
    <w:rsid w:val="003E582F"/>
    <w:rsid w:val="003E58F7"/>
    <w:rsid w:val="00401B59"/>
    <w:rsid w:val="00405CE5"/>
    <w:rsid w:val="00410A87"/>
    <w:rsid w:val="0041604F"/>
    <w:rsid w:val="00427DD9"/>
    <w:rsid w:val="004317DB"/>
    <w:rsid w:val="00432C5C"/>
    <w:rsid w:val="00437C19"/>
    <w:rsid w:val="00461D1F"/>
    <w:rsid w:val="00470148"/>
    <w:rsid w:val="00470526"/>
    <w:rsid w:val="00474CA7"/>
    <w:rsid w:val="004848A4"/>
    <w:rsid w:val="00490F5F"/>
    <w:rsid w:val="0049769E"/>
    <w:rsid w:val="004A0755"/>
    <w:rsid w:val="004A6BE3"/>
    <w:rsid w:val="004B078F"/>
    <w:rsid w:val="004C4371"/>
    <w:rsid w:val="004C7D38"/>
    <w:rsid w:val="004D0D86"/>
    <w:rsid w:val="004D10C6"/>
    <w:rsid w:val="004D2643"/>
    <w:rsid w:val="004D294E"/>
    <w:rsid w:val="004D3D03"/>
    <w:rsid w:val="004D4586"/>
    <w:rsid w:val="004D6329"/>
    <w:rsid w:val="004E034B"/>
    <w:rsid w:val="004E17FC"/>
    <w:rsid w:val="004E274E"/>
    <w:rsid w:val="004E517F"/>
    <w:rsid w:val="004F778E"/>
    <w:rsid w:val="004F7A38"/>
    <w:rsid w:val="005003A1"/>
    <w:rsid w:val="0050148F"/>
    <w:rsid w:val="00502F91"/>
    <w:rsid w:val="00520AAA"/>
    <w:rsid w:val="00520B2A"/>
    <w:rsid w:val="005338E4"/>
    <w:rsid w:val="0054286C"/>
    <w:rsid w:val="00543E5A"/>
    <w:rsid w:val="00545A32"/>
    <w:rsid w:val="0054645F"/>
    <w:rsid w:val="005616ED"/>
    <w:rsid w:val="005629D0"/>
    <w:rsid w:val="00564A4E"/>
    <w:rsid w:val="005815B6"/>
    <w:rsid w:val="00584E85"/>
    <w:rsid w:val="005871DA"/>
    <w:rsid w:val="00587695"/>
    <w:rsid w:val="0059054D"/>
    <w:rsid w:val="0059316B"/>
    <w:rsid w:val="005949A8"/>
    <w:rsid w:val="005A077D"/>
    <w:rsid w:val="005A4320"/>
    <w:rsid w:val="005A498D"/>
    <w:rsid w:val="005C19CA"/>
    <w:rsid w:val="005C4522"/>
    <w:rsid w:val="005D49BF"/>
    <w:rsid w:val="005F30C3"/>
    <w:rsid w:val="005F7863"/>
    <w:rsid w:val="0060353B"/>
    <w:rsid w:val="006148FE"/>
    <w:rsid w:val="00620876"/>
    <w:rsid w:val="00622124"/>
    <w:rsid w:val="00624FD0"/>
    <w:rsid w:val="00630C5E"/>
    <w:rsid w:val="006315B4"/>
    <w:rsid w:val="00635AC3"/>
    <w:rsid w:val="00636FFB"/>
    <w:rsid w:val="00654CCF"/>
    <w:rsid w:val="00665F82"/>
    <w:rsid w:val="00667C4C"/>
    <w:rsid w:val="0067186C"/>
    <w:rsid w:val="00671E11"/>
    <w:rsid w:val="006779DA"/>
    <w:rsid w:val="00687EB3"/>
    <w:rsid w:val="00692980"/>
    <w:rsid w:val="00693246"/>
    <w:rsid w:val="0069506F"/>
    <w:rsid w:val="00696582"/>
    <w:rsid w:val="006A1DBB"/>
    <w:rsid w:val="006B4E40"/>
    <w:rsid w:val="006C103A"/>
    <w:rsid w:val="006C4E6A"/>
    <w:rsid w:val="006C50E8"/>
    <w:rsid w:val="006D464D"/>
    <w:rsid w:val="006E6F11"/>
    <w:rsid w:val="006F0B6B"/>
    <w:rsid w:val="006F144D"/>
    <w:rsid w:val="006F461B"/>
    <w:rsid w:val="006F622C"/>
    <w:rsid w:val="00700FF6"/>
    <w:rsid w:val="00704D44"/>
    <w:rsid w:val="007151FC"/>
    <w:rsid w:val="00715A68"/>
    <w:rsid w:val="00715DD5"/>
    <w:rsid w:val="00715ECF"/>
    <w:rsid w:val="00717A04"/>
    <w:rsid w:val="00717BFE"/>
    <w:rsid w:val="007208C5"/>
    <w:rsid w:val="00725BB4"/>
    <w:rsid w:val="0073180A"/>
    <w:rsid w:val="00732997"/>
    <w:rsid w:val="007336C3"/>
    <w:rsid w:val="00735033"/>
    <w:rsid w:val="00756485"/>
    <w:rsid w:val="0075705D"/>
    <w:rsid w:val="007626E1"/>
    <w:rsid w:val="00767F65"/>
    <w:rsid w:val="00770D6C"/>
    <w:rsid w:val="00777882"/>
    <w:rsid w:val="00783515"/>
    <w:rsid w:val="00787C94"/>
    <w:rsid w:val="00791BCB"/>
    <w:rsid w:val="007921BD"/>
    <w:rsid w:val="00793A02"/>
    <w:rsid w:val="00795C6B"/>
    <w:rsid w:val="007A1566"/>
    <w:rsid w:val="007A3995"/>
    <w:rsid w:val="007A5AC5"/>
    <w:rsid w:val="007B622D"/>
    <w:rsid w:val="007C4288"/>
    <w:rsid w:val="007C484E"/>
    <w:rsid w:val="007D4853"/>
    <w:rsid w:val="007D57C4"/>
    <w:rsid w:val="007E0429"/>
    <w:rsid w:val="007E41DE"/>
    <w:rsid w:val="007E4CE3"/>
    <w:rsid w:val="007F2B1F"/>
    <w:rsid w:val="00802F7A"/>
    <w:rsid w:val="00806A1C"/>
    <w:rsid w:val="0080773A"/>
    <w:rsid w:val="008173F3"/>
    <w:rsid w:val="0082117C"/>
    <w:rsid w:val="008227E9"/>
    <w:rsid w:val="008252C5"/>
    <w:rsid w:val="00831860"/>
    <w:rsid w:val="00832F2D"/>
    <w:rsid w:val="00836C6A"/>
    <w:rsid w:val="00841C9F"/>
    <w:rsid w:val="0084294E"/>
    <w:rsid w:val="00843EFF"/>
    <w:rsid w:val="008442A5"/>
    <w:rsid w:val="008477A9"/>
    <w:rsid w:val="0085416A"/>
    <w:rsid w:val="00856B0F"/>
    <w:rsid w:val="00862AD4"/>
    <w:rsid w:val="0087186A"/>
    <w:rsid w:val="00872C56"/>
    <w:rsid w:val="00874F67"/>
    <w:rsid w:val="00876AC2"/>
    <w:rsid w:val="00883F43"/>
    <w:rsid w:val="00884C98"/>
    <w:rsid w:val="00884CE2"/>
    <w:rsid w:val="00885E7D"/>
    <w:rsid w:val="0089363F"/>
    <w:rsid w:val="00894D05"/>
    <w:rsid w:val="00896ED8"/>
    <w:rsid w:val="008A209D"/>
    <w:rsid w:val="008A2436"/>
    <w:rsid w:val="008A4E8C"/>
    <w:rsid w:val="008A563D"/>
    <w:rsid w:val="008B357C"/>
    <w:rsid w:val="008B3B0A"/>
    <w:rsid w:val="008C2BA0"/>
    <w:rsid w:val="008C69F2"/>
    <w:rsid w:val="008D3E6C"/>
    <w:rsid w:val="008E04EC"/>
    <w:rsid w:val="008E43F4"/>
    <w:rsid w:val="008F42F6"/>
    <w:rsid w:val="008F5282"/>
    <w:rsid w:val="00912BAC"/>
    <w:rsid w:val="00925058"/>
    <w:rsid w:val="00926CDB"/>
    <w:rsid w:val="00930113"/>
    <w:rsid w:val="009356EC"/>
    <w:rsid w:val="00937FB2"/>
    <w:rsid w:val="0094114F"/>
    <w:rsid w:val="00947237"/>
    <w:rsid w:val="0095690D"/>
    <w:rsid w:val="009609C5"/>
    <w:rsid w:val="00963008"/>
    <w:rsid w:val="00965B1A"/>
    <w:rsid w:val="00971B57"/>
    <w:rsid w:val="00976933"/>
    <w:rsid w:val="00981893"/>
    <w:rsid w:val="00982684"/>
    <w:rsid w:val="00984974"/>
    <w:rsid w:val="00986438"/>
    <w:rsid w:val="00987DBF"/>
    <w:rsid w:val="00993EC7"/>
    <w:rsid w:val="00994FE0"/>
    <w:rsid w:val="009970F9"/>
    <w:rsid w:val="009A5590"/>
    <w:rsid w:val="009C3837"/>
    <w:rsid w:val="009C44BD"/>
    <w:rsid w:val="009C537F"/>
    <w:rsid w:val="009D0585"/>
    <w:rsid w:val="009D2BB3"/>
    <w:rsid w:val="009E0846"/>
    <w:rsid w:val="009E1EF4"/>
    <w:rsid w:val="009E1F32"/>
    <w:rsid w:val="009E4BD5"/>
    <w:rsid w:val="009F1BE0"/>
    <w:rsid w:val="009F7CED"/>
    <w:rsid w:val="00A04569"/>
    <w:rsid w:val="00A0736A"/>
    <w:rsid w:val="00A07DE7"/>
    <w:rsid w:val="00A1301A"/>
    <w:rsid w:val="00A14C37"/>
    <w:rsid w:val="00A15CFA"/>
    <w:rsid w:val="00A161B9"/>
    <w:rsid w:val="00A219D7"/>
    <w:rsid w:val="00A2785C"/>
    <w:rsid w:val="00A33DCF"/>
    <w:rsid w:val="00A377FE"/>
    <w:rsid w:val="00A4128C"/>
    <w:rsid w:val="00A41AEF"/>
    <w:rsid w:val="00A447B3"/>
    <w:rsid w:val="00A500DD"/>
    <w:rsid w:val="00A52C3F"/>
    <w:rsid w:val="00A55DB6"/>
    <w:rsid w:val="00A61784"/>
    <w:rsid w:val="00A640B5"/>
    <w:rsid w:val="00A64120"/>
    <w:rsid w:val="00A72973"/>
    <w:rsid w:val="00A74AFD"/>
    <w:rsid w:val="00A77690"/>
    <w:rsid w:val="00A80613"/>
    <w:rsid w:val="00A83A98"/>
    <w:rsid w:val="00A85AEA"/>
    <w:rsid w:val="00A94019"/>
    <w:rsid w:val="00AA19F5"/>
    <w:rsid w:val="00AA28E8"/>
    <w:rsid w:val="00AB0708"/>
    <w:rsid w:val="00AB0C45"/>
    <w:rsid w:val="00AB6652"/>
    <w:rsid w:val="00AC1AF8"/>
    <w:rsid w:val="00AC447D"/>
    <w:rsid w:val="00AD5446"/>
    <w:rsid w:val="00AD623F"/>
    <w:rsid w:val="00AE03F3"/>
    <w:rsid w:val="00AF5E71"/>
    <w:rsid w:val="00B01939"/>
    <w:rsid w:val="00B13AE3"/>
    <w:rsid w:val="00B25550"/>
    <w:rsid w:val="00B30DCD"/>
    <w:rsid w:val="00B377D3"/>
    <w:rsid w:val="00B4178F"/>
    <w:rsid w:val="00B4216E"/>
    <w:rsid w:val="00B448DC"/>
    <w:rsid w:val="00B463AC"/>
    <w:rsid w:val="00B51095"/>
    <w:rsid w:val="00B6123C"/>
    <w:rsid w:val="00B61CA6"/>
    <w:rsid w:val="00B65F1B"/>
    <w:rsid w:val="00B66D03"/>
    <w:rsid w:val="00B7000F"/>
    <w:rsid w:val="00B729FC"/>
    <w:rsid w:val="00B73EC6"/>
    <w:rsid w:val="00B766E4"/>
    <w:rsid w:val="00B8326D"/>
    <w:rsid w:val="00B84AF8"/>
    <w:rsid w:val="00B937B6"/>
    <w:rsid w:val="00BA450F"/>
    <w:rsid w:val="00BB545F"/>
    <w:rsid w:val="00BD4B65"/>
    <w:rsid w:val="00BE280C"/>
    <w:rsid w:val="00BF054E"/>
    <w:rsid w:val="00BF0DB9"/>
    <w:rsid w:val="00BF21D4"/>
    <w:rsid w:val="00BF6D82"/>
    <w:rsid w:val="00C12B93"/>
    <w:rsid w:val="00C134C3"/>
    <w:rsid w:val="00C26C14"/>
    <w:rsid w:val="00C27D76"/>
    <w:rsid w:val="00C31D59"/>
    <w:rsid w:val="00C36892"/>
    <w:rsid w:val="00C4009A"/>
    <w:rsid w:val="00C401C2"/>
    <w:rsid w:val="00C46330"/>
    <w:rsid w:val="00C47F73"/>
    <w:rsid w:val="00C52E86"/>
    <w:rsid w:val="00C6077B"/>
    <w:rsid w:val="00C61441"/>
    <w:rsid w:val="00C7145D"/>
    <w:rsid w:val="00C7294E"/>
    <w:rsid w:val="00C83868"/>
    <w:rsid w:val="00C91F90"/>
    <w:rsid w:val="00CA57DF"/>
    <w:rsid w:val="00CB0063"/>
    <w:rsid w:val="00CB4D37"/>
    <w:rsid w:val="00CB66F7"/>
    <w:rsid w:val="00CC0C62"/>
    <w:rsid w:val="00CC259C"/>
    <w:rsid w:val="00CC42D1"/>
    <w:rsid w:val="00CC5B3E"/>
    <w:rsid w:val="00CE1A87"/>
    <w:rsid w:val="00CF25EF"/>
    <w:rsid w:val="00D020AE"/>
    <w:rsid w:val="00D04A96"/>
    <w:rsid w:val="00D05B67"/>
    <w:rsid w:val="00D05D52"/>
    <w:rsid w:val="00D24980"/>
    <w:rsid w:val="00D26D53"/>
    <w:rsid w:val="00D31F43"/>
    <w:rsid w:val="00D40E59"/>
    <w:rsid w:val="00D415E6"/>
    <w:rsid w:val="00D444C5"/>
    <w:rsid w:val="00D530DC"/>
    <w:rsid w:val="00D62023"/>
    <w:rsid w:val="00D7070F"/>
    <w:rsid w:val="00D709DD"/>
    <w:rsid w:val="00D8294A"/>
    <w:rsid w:val="00D83F98"/>
    <w:rsid w:val="00D84A75"/>
    <w:rsid w:val="00D85F90"/>
    <w:rsid w:val="00D90649"/>
    <w:rsid w:val="00D91E89"/>
    <w:rsid w:val="00D9213D"/>
    <w:rsid w:val="00D965B1"/>
    <w:rsid w:val="00D97DF9"/>
    <w:rsid w:val="00DA6526"/>
    <w:rsid w:val="00DA6C54"/>
    <w:rsid w:val="00DC54A3"/>
    <w:rsid w:val="00DD181C"/>
    <w:rsid w:val="00DD2F2C"/>
    <w:rsid w:val="00DD48D9"/>
    <w:rsid w:val="00DD6795"/>
    <w:rsid w:val="00DE1540"/>
    <w:rsid w:val="00DE520C"/>
    <w:rsid w:val="00DF1E66"/>
    <w:rsid w:val="00DF60FD"/>
    <w:rsid w:val="00DF6410"/>
    <w:rsid w:val="00E007F7"/>
    <w:rsid w:val="00E05F18"/>
    <w:rsid w:val="00E06A27"/>
    <w:rsid w:val="00E12202"/>
    <w:rsid w:val="00E242C5"/>
    <w:rsid w:val="00E24673"/>
    <w:rsid w:val="00E24F26"/>
    <w:rsid w:val="00E261B4"/>
    <w:rsid w:val="00E31E85"/>
    <w:rsid w:val="00E407FF"/>
    <w:rsid w:val="00E40C34"/>
    <w:rsid w:val="00E41E2C"/>
    <w:rsid w:val="00E44207"/>
    <w:rsid w:val="00E66C57"/>
    <w:rsid w:val="00E66D00"/>
    <w:rsid w:val="00E7224C"/>
    <w:rsid w:val="00E729F2"/>
    <w:rsid w:val="00E75DBD"/>
    <w:rsid w:val="00E772F0"/>
    <w:rsid w:val="00E805D3"/>
    <w:rsid w:val="00E80826"/>
    <w:rsid w:val="00E84DA1"/>
    <w:rsid w:val="00E91332"/>
    <w:rsid w:val="00EA3045"/>
    <w:rsid w:val="00EC1DE8"/>
    <w:rsid w:val="00EC35AE"/>
    <w:rsid w:val="00ED4708"/>
    <w:rsid w:val="00EE0D69"/>
    <w:rsid w:val="00EE0F26"/>
    <w:rsid w:val="00EE2ABB"/>
    <w:rsid w:val="00EF192B"/>
    <w:rsid w:val="00F06B8A"/>
    <w:rsid w:val="00F07A7D"/>
    <w:rsid w:val="00F153C1"/>
    <w:rsid w:val="00F16839"/>
    <w:rsid w:val="00F211E7"/>
    <w:rsid w:val="00F21D37"/>
    <w:rsid w:val="00F221F0"/>
    <w:rsid w:val="00F26136"/>
    <w:rsid w:val="00F2713B"/>
    <w:rsid w:val="00F305D8"/>
    <w:rsid w:val="00F37106"/>
    <w:rsid w:val="00F44A2E"/>
    <w:rsid w:val="00F47D57"/>
    <w:rsid w:val="00F55DC4"/>
    <w:rsid w:val="00F576B3"/>
    <w:rsid w:val="00F745E1"/>
    <w:rsid w:val="00F75A79"/>
    <w:rsid w:val="00F7620E"/>
    <w:rsid w:val="00F775AD"/>
    <w:rsid w:val="00F80E07"/>
    <w:rsid w:val="00F8371F"/>
    <w:rsid w:val="00F87CCB"/>
    <w:rsid w:val="00F90326"/>
    <w:rsid w:val="00F90F86"/>
    <w:rsid w:val="00F92DF0"/>
    <w:rsid w:val="00FA0454"/>
    <w:rsid w:val="00FA4A9E"/>
    <w:rsid w:val="00FB1248"/>
    <w:rsid w:val="00FB217D"/>
    <w:rsid w:val="00FB29CC"/>
    <w:rsid w:val="00FC0522"/>
    <w:rsid w:val="00FC2DE3"/>
    <w:rsid w:val="00FD3D04"/>
    <w:rsid w:val="00FD49A0"/>
    <w:rsid w:val="00FE27DE"/>
    <w:rsid w:val="00FF66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EBAD2"/>
  <w15:chartTrackingRefBased/>
  <w15:docId w15:val="{49E2ABB7-65AD-4DD1-8B76-9A1ACD89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2C96"/>
    <w:rPr>
      <w:rFonts w:ascii="Arial" w:hAnsi="Arial"/>
      <w:lang w:val="es-ES"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link w:val="Ttulo2Car"/>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BodyText31">
    <w:name w:val="Body Text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semiHidden/>
    <w:rsid w:val="00885E7D"/>
    <w:rPr>
      <w:sz w:val="16"/>
      <w:szCs w:val="16"/>
    </w:rPr>
  </w:style>
  <w:style w:type="paragraph" w:styleId="Textocomentario">
    <w:name w:val="annotation text"/>
    <w:basedOn w:val="Normal"/>
    <w:semiHidden/>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ColorfulList-Accent11">
    <w:name w:val="Colorful List - Accent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link w:val="DefaultCar"/>
    <w:rsid w:val="00DF1E66"/>
    <w:pPr>
      <w:autoSpaceDE w:val="0"/>
      <w:autoSpaceDN w:val="0"/>
      <w:adjustRightInd w:val="0"/>
    </w:pPr>
    <w:rPr>
      <w:rFonts w:ascii="Arial" w:hAnsi="Arial" w:cs="Arial"/>
      <w:color w:val="000000"/>
      <w:sz w:val="24"/>
      <w:szCs w:val="24"/>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MediumGrid21">
    <w:name w:val="Medium Grid 21"/>
    <w:qFormat/>
    <w:rsid w:val="00236F62"/>
    <w:rPr>
      <w:rFonts w:ascii="Calibri" w:eastAsia="Calibri" w:hAnsi="Calibri"/>
      <w:sz w:val="22"/>
      <w:szCs w:val="22"/>
      <w:lang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ColorfulList-Accent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022C96"/>
    <w:rPr>
      <w:rFonts w:ascii="Arial" w:hAnsi="Arial"/>
      <w:b/>
      <w:lang w:val="es-ES" w:eastAsia="es-ES"/>
    </w:rPr>
  </w:style>
  <w:style w:type="paragraph" w:styleId="Prrafodelista">
    <w:name w:val="List Paragraph"/>
    <w:basedOn w:val="Normal"/>
    <w:link w:val="PrrafodelistaCar"/>
    <w:uiPriority w:val="34"/>
    <w:qFormat/>
    <w:rsid w:val="00993EC7"/>
    <w:pPr>
      <w:ind w:left="720"/>
      <w:contextualSpacing/>
    </w:pPr>
    <w:rPr>
      <w:rFonts w:ascii="Calibri" w:eastAsia="Calibri" w:hAnsi="Calibri"/>
      <w:sz w:val="24"/>
      <w:szCs w:val="24"/>
      <w:lang w:val="es-ES_tradnl" w:eastAsia="en-US"/>
    </w:rPr>
  </w:style>
  <w:style w:type="character" w:customStyle="1" w:styleId="PrrafodelistaCar">
    <w:name w:val="Párrafo de lista Car"/>
    <w:link w:val="Prrafodelista"/>
    <w:uiPriority w:val="34"/>
    <w:locked/>
    <w:rsid w:val="00993EC7"/>
    <w:rPr>
      <w:rFonts w:ascii="Calibri" w:eastAsia="Calibri" w:hAnsi="Calibri"/>
      <w:sz w:val="24"/>
      <w:szCs w:val="24"/>
      <w:lang w:val="es-ES_tradnl" w:eastAsia="en-US"/>
    </w:rPr>
  </w:style>
  <w:style w:type="character" w:customStyle="1" w:styleId="ColorfulList-Accent1Char">
    <w:name w:val="Colorful List - Accent 1 Char"/>
    <w:aliases w:val="Normal. Viñetas Char"/>
    <w:link w:val="Listavistosa-nfasis1"/>
    <w:uiPriority w:val="34"/>
    <w:locked/>
    <w:rsid w:val="00993EC7"/>
    <w:rPr>
      <w:rFonts w:ascii="Calibri" w:hAnsi="Calibri"/>
      <w:sz w:val="22"/>
      <w:szCs w:val="22"/>
    </w:rPr>
  </w:style>
  <w:style w:type="table" w:styleId="Listavistosa-nfasis1">
    <w:name w:val="Colorful List Accent 1"/>
    <w:basedOn w:val="Tablanormal"/>
    <w:link w:val="ColorfulList-Accent1Char"/>
    <w:uiPriority w:val="34"/>
    <w:semiHidden/>
    <w:unhideWhenUsed/>
    <w:qFormat/>
    <w:rsid w:val="00993EC7"/>
    <w:rPr>
      <w:rFonts w:ascii="Calibri" w:hAnsi="Calibri"/>
      <w:sz w:val="22"/>
      <w:szCs w:val="22"/>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DefaultCar">
    <w:name w:val="Default Car"/>
    <w:link w:val="Default"/>
    <w:rsid w:val="00993EC7"/>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89616">
      <w:bodyDiv w:val="1"/>
      <w:marLeft w:val="0"/>
      <w:marRight w:val="0"/>
      <w:marTop w:val="0"/>
      <w:marBottom w:val="0"/>
      <w:divBdr>
        <w:top w:val="none" w:sz="0" w:space="0" w:color="auto"/>
        <w:left w:val="none" w:sz="0" w:space="0" w:color="auto"/>
        <w:bottom w:val="none" w:sz="0" w:space="0" w:color="auto"/>
        <w:right w:val="none" w:sz="0" w:space="0" w:color="auto"/>
      </w:divBdr>
    </w:div>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13825904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94EC5-52D9-4929-B3D2-A7B03D91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3386</Words>
  <Characters>18623</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Formato Memoria Justificativa</vt:lpstr>
    </vt:vector>
  </TitlesOfParts>
  <Company>dafp</Company>
  <LinksUpToDate>false</LinksUpToDate>
  <CharactersWithSpaces>21966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Memoria Justificativa</dc:title>
  <dc:subject/>
  <dc:creator>Departamento Administrativo de la Función Publica</dc:creator>
  <cp:keywords/>
  <dc:description/>
  <cp:lastModifiedBy>Diana Maria Gomez Ortiz</cp:lastModifiedBy>
  <cp:revision>11</cp:revision>
  <cp:lastPrinted>2019-07-08T22:30:00Z</cp:lastPrinted>
  <dcterms:created xsi:type="dcterms:W3CDTF">2023-08-15T13:18:00Z</dcterms:created>
  <dcterms:modified xsi:type="dcterms:W3CDTF">2023-09-06T16:53:00Z</dcterms:modified>
</cp:coreProperties>
</file>