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r>
        <w:rPr>
          <w:rFonts w:ascii="Arial Narrow" w:hAnsi="Arial Narrow" w:cs="Arial"/>
          <w:b/>
        </w:rPr>
        <w:t xml:space="preserve">Concepto </w:t>
      </w:r>
      <w:r w:rsidR="005D32F3" w:rsidRPr="005D32F3">
        <w:rPr>
          <w:rFonts w:ascii="Arial Narrow" w:hAnsi="Arial Narrow" w:cs="Arial"/>
          <w:b/>
          <w:bCs/>
        </w:rPr>
        <w:t>147286</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 xml:space="preserve">Bogotá, D.C. </w:t>
      </w:r>
      <w:r w:rsidR="005D32F3">
        <w:rPr>
          <w:rFonts w:ascii="Arial Narrow" w:hAnsi="Arial Narrow" w:cs="Arial"/>
        </w:rPr>
        <w:t>29</w:t>
      </w:r>
      <w:r>
        <w:rPr>
          <w:rFonts w:ascii="Arial Narrow" w:hAnsi="Arial Narrow" w:cs="Arial"/>
        </w:rPr>
        <w:t xml:space="preserve"> </w:t>
      </w:r>
      <w:r w:rsidR="005D32F3">
        <w:rPr>
          <w:rFonts w:ascii="Arial Narrow" w:hAnsi="Arial Narrow" w:cs="Arial"/>
        </w:rPr>
        <w:t>AGO</w:t>
      </w:r>
      <w:r>
        <w:rPr>
          <w:rFonts w:ascii="Arial Narrow" w:hAnsi="Arial Narrow" w:cs="Arial"/>
        </w:rPr>
        <w:t xml:space="preserve">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lang w:val="es-CO"/>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320EBB">
        <w:rPr>
          <w:rFonts w:ascii="Arial Narrow" w:hAnsi="Arial Narrow" w:cs="Arial"/>
          <w:b/>
        </w:rPr>
        <w:t xml:space="preserve">No </w:t>
      </w:r>
      <w:bookmarkStart w:id="0" w:name="_GoBack"/>
      <w:bookmarkEnd w:id="0"/>
      <w:r w:rsidR="005D32F3" w:rsidRPr="005D32F3">
        <w:rPr>
          <w:rFonts w:ascii="Arial Narrow" w:hAnsi="Arial Narrow" w:cs="Arial Narrow"/>
          <w:b/>
          <w:bCs/>
          <w:spacing w:val="4"/>
          <w:sz w:val="23"/>
          <w:szCs w:val="23"/>
        </w:rPr>
        <w:t>104242</w:t>
      </w:r>
      <w:r w:rsidR="005D32F3">
        <w:rPr>
          <w:rFonts w:ascii="Arial Narrow" w:hAnsi="Arial Narrow" w:cs="Arial Narrow"/>
          <w:b/>
          <w:bCs/>
          <w:spacing w:val="4"/>
          <w:sz w:val="23"/>
          <w:szCs w:val="23"/>
        </w:rPr>
        <w:t xml:space="preserve"> </w:t>
      </w:r>
      <w:r w:rsidR="005D32F3" w:rsidRPr="005D32F3">
        <w:rPr>
          <w:rFonts w:ascii="Arial Narrow" w:hAnsi="Arial Narrow" w:cs="Arial"/>
          <w:b/>
          <w:lang w:val="es-CO"/>
        </w:rPr>
        <w:t>Omisión empleador afiliación pensiones - calculo actuarial</w:t>
      </w:r>
    </w:p>
    <w:p w:rsidR="005D32F3" w:rsidRDefault="005D32F3" w:rsidP="006A6CC7">
      <w:pPr>
        <w:ind w:left="1416" w:right="47" w:hanging="1416"/>
        <w:jc w:val="both"/>
        <w:rPr>
          <w:rFonts w:ascii="Arial Narrow" w:hAnsi="Arial Narrow" w:cs="Arial"/>
          <w:b/>
        </w:rPr>
      </w:pPr>
    </w:p>
    <w:p w:rsidR="005D32F3" w:rsidRPr="005D32F3" w:rsidRDefault="005D32F3" w:rsidP="005D32F3">
      <w:pPr>
        <w:kinsoku w:val="0"/>
        <w:overflowPunct w:val="0"/>
        <w:spacing w:before="120" w:line="277" w:lineRule="exact"/>
        <w:jc w:val="both"/>
        <w:textAlignment w:val="baseline"/>
        <w:rPr>
          <w:rFonts w:ascii="Arial Narrow" w:hAnsi="Arial Narrow" w:cs="Arial Narrow"/>
          <w:sz w:val="22"/>
          <w:szCs w:val="22"/>
        </w:rPr>
      </w:pPr>
      <w:r w:rsidRPr="005D32F3">
        <w:rPr>
          <w:rFonts w:ascii="Arial Narrow" w:hAnsi="Arial Narrow" w:cs="Arial Narrow"/>
          <w:sz w:val="22"/>
          <w:szCs w:val="22"/>
        </w:rPr>
        <w:t xml:space="preserve">De manera atenta, damos respuesta a su comunicación radicada con el número del asunto, mediante la cual consulta: 1. ¿Cuál sería el procedimiento que debe adelantar el empleador para realizar el pago de las cotizaciones no efectuadas al Sistema de Pensiones, de un trabajador que estuvo a su servicio durante cuatro (4) años? 2. ¿Cuál sería la base de cotización o el salario que debe tener en cuenta para realizar dicho pago? 3. ¿Debe efectuar el mismo procedimiento tratándose de una Administradora de Fondos de Pensiones o de la Administradora </w:t>
      </w:r>
      <w:proofErr w:type="spellStart"/>
      <w:r w:rsidRPr="005D32F3">
        <w:rPr>
          <w:rFonts w:ascii="Arial Narrow" w:hAnsi="Arial Narrow" w:cs="Arial Narrow"/>
          <w:sz w:val="22"/>
          <w:szCs w:val="22"/>
        </w:rPr>
        <w:t>Colpensiones</w:t>
      </w:r>
      <w:proofErr w:type="spellEnd"/>
      <w:r w:rsidRPr="005D32F3">
        <w:rPr>
          <w:rFonts w:ascii="Arial Narrow" w:hAnsi="Arial Narrow" w:cs="Arial Narrow"/>
          <w:sz w:val="22"/>
          <w:szCs w:val="22"/>
        </w:rPr>
        <w:t>?</w:t>
      </w:r>
    </w:p>
    <w:p w:rsidR="005D32F3" w:rsidRPr="005D32F3" w:rsidRDefault="005D32F3" w:rsidP="005D32F3">
      <w:pPr>
        <w:kinsoku w:val="0"/>
        <w:overflowPunct w:val="0"/>
        <w:spacing w:before="120" w:line="277" w:lineRule="exact"/>
        <w:jc w:val="both"/>
        <w:textAlignment w:val="baseline"/>
        <w:rPr>
          <w:rFonts w:ascii="Arial Narrow" w:hAnsi="Arial Narrow" w:cs="Arial Narrow"/>
          <w:sz w:val="22"/>
          <w:szCs w:val="22"/>
        </w:rPr>
      </w:pPr>
      <w:r w:rsidRPr="005D32F3">
        <w:rPr>
          <w:rFonts w:ascii="Arial Narrow" w:hAnsi="Arial Narrow" w:cs="Arial Narrow"/>
          <w:sz w:val="22"/>
          <w:szCs w:val="22"/>
        </w:rPr>
        <w:t>Para efectos de absolver su consulta, nos permitimos hacer las siguientes precisiones:</w:t>
      </w:r>
    </w:p>
    <w:p w:rsidR="005D32F3" w:rsidRDefault="005D32F3" w:rsidP="005D32F3">
      <w:pPr>
        <w:kinsoku w:val="0"/>
        <w:overflowPunct w:val="0"/>
        <w:spacing w:before="120" w:line="277" w:lineRule="exact"/>
        <w:jc w:val="both"/>
        <w:textAlignment w:val="baseline"/>
        <w:rPr>
          <w:rFonts w:ascii="Arial Narrow" w:hAnsi="Arial Narrow" w:cs="Arial Narrow"/>
          <w:sz w:val="22"/>
          <w:szCs w:val="22"/>
        </w:rPr>
      </w:pPr>
      <w:r w:rsidRPr="005D32F3">
        <w:rPr>
          <w:rFonts w:ascii="Arial Narrow" w:hAnsi="Arial Narrow" w:cs="Arial Narrow"/>
          <w:sz w:val="22"/>
          <w:szCs w:val="22"/>
        </w:rPr>
        <w:t xml:space="preserve">La Ley 100 de 1993 creó el Sistema Integral de Seguridad Social y dispuso </w:t>
      </w:r>
      <w:r w:rsidRPr="005D32F3">
        <w:rPr>
          <w:rFonts w:ascii="Arial Narrow" w:hAnsi="Arial Narrow" w:cs="Arial Narrow"/>
          <w:sz w:val="22"/>
          <w:szCs w:val="22"/>
          <w:u w:val="single"/>
        </w:rPr>
        <w:t>que los trabajadores dependientes son cotizantes obligatorios</w:t>
      </w:r>
      <w:r w:rsidRPr="005D32F3">
        <w:rPr>
          <w:rFonts w:ascii="Arial Narrow" w:hAnsi="Arial Narrow" w:cs="Arial Narrow"/>
          <w:sz w:val="22"/>
          <w:szCs w:val="22"/>
        </w:rPr>
        <w:t xml:space="preserve"> tanto al Sistema General de Pensiones, como al Sistema General de Seguridad Social en Salud, y el Decreto Reglamentario 1295 de 1994 en el </w:t>
      </w:r>
      <w:proofErr w:type="spellStart"/>
      <w:r w:rsidRPr="005D32F3">
        <w:rPr>
          <w:rFonts w:ascii="Arial Narrow" w:hAnsi="Arial Narrow" w:cs="Arial Narrow"/>
          <w:sz w:val="22"/>
          <w:szCs w:val="22"/>
        </w:rPr>
        <w:t>articulo</w:t>
      </w:r>
      <w:proofErr w:type="spellEnd"/>
      <w:r w:rsidRPr="005D32F3">
        <w:rPr>
          <w:rFonts w:ascii="Arial Narrow" w:hAnsi="Arial Narrow" w:cs="Arial Narrow"/>
          <w:sz w:val="22"/>
          <w:szCs w:val="22"/>
        </w:rPr>
        <w:t xml:space="preserve"> 13, modificado por el artículo 2° de la Ley 1562 de 2012, dispuso la afiliación obligatoria de los trabajadores dependientes al Sistema General de Riesgos Laborales.</w:t>
      </w:r>
    </w:p>
    <w:p w:rsidR="005D32F3" w:rsidRDefault="005D32F3" w:rsidP="005D32F3">
      <w:pPr>
        <w:kinsoku w:val="0"/>
        <w:overflowPunct w:val="0"/>
        <w:spacing w:before="120" w:line="277" w:lineRule="exact"/>
        <w:jc w:val="both"/>
        <w:textAlignment w:val="baseline"/>
        <w:rPr>
          <w:rFonts w:ascii="Arial Narrow" w:hAnsi="Arial Narrow" w:cs="Arial Narrow"/>
          <w:sz w:val="22"/>
          <w:szCs w:val="22"/>
        </w:rPr>
      </w:pPr>
      <w:r w:rsidRPr="005D32F3">
        <w:rPr>
          <w:rFonts w:ascii="Arial Narrow" w:hAnsi="Arial Narrow" w:cs="Arial Narrow"/>
          <w:sz w:val="22"/>
          <w:szCs w:val="22"/>
        </w:rPr>
        <w:t>En este sentido, la Ley 100 de 1993, señala:</w:t>
      </w:r>
    </w:p>
    <w:p w:rsidR="005D32F3" w:rsidRDefault="005D32F3" w:rsidP="005D32F3">
      <w:pPr>
        <w:kinsoku w:val="0"/>
        <w:overflowPunct w:val="0"/>
        <w:spacing w:before="120" w:line="227" w:lineRule="exact"/>
        <w:ind w:left="709" w:right="567"/>
        <w:jc w:val="both"/>
        <w:textAlignment w:val="baseline"/>
        <w:rPr>
          <w:rFonts w:ascii="Arial Narrow" w:hAnsi="Arial Narrow" w:cs="Arial"/>
          <w:i/>
          <w:iCs/>
          <w:spacing w:val="6"/>
          <w:sz w:val="20"/>
          <w:szCs w:val="20"/>
        </w:rPr>
      </w:pPr>
      <w:r w:rsidRPr="005D32F3">
        <w:rPr>
          <w:rFonts w:ascii="Arial Narrow" w:hAnsi="Arial Narrow" w:cs="Arial"/>
          <w:bCs/>
          <w:i/>
          <w:iCs/>
          <w:spacing w:val="6"/>
          <w:sz w:val="20"/>
          <w:szCs w:val="20"/>
        </w:rPr>
        <w:t xml:space="preserve">"ARTICULO. </w:t>
      </w:r>
      <w:r w:rsidRPr="005D32F3">
        <w:rPr>
          <w:rFonts w:ascii="Arial Narrow" w:hAnsi="Arial Narrow" w:cs="Arial"/>
          <w:i/>
          <w:iCs/>
          <w:spacing w:val="6"/>
          <w:sz w:val="20"/>
          <w:szCs w:val="20"/>
        </w:rPr>
        <w:t xml:space="preserve">22.-Obligaciones del empleador. </w:t>
      </w:r>
      <w:r w:rsidRPr="005D32F3">
        <w:rPr>
          <w:rFonts w:ascii="Arial Narrow" w:hAnsi="Arial Narrow" w:cs="Arial"/>
          <w:i/>
          <w:iCs/>
          <w:spacing w:val="6"/>
          <w:sz w:val="20"/>
          <w:szCs w:val="20"/>
          <w:u w:val="single"/>
        </w:rPr>
        <w:t xml:space="preserve">El empleador será responsable del pago de su aporte y </w:t>
      </w:r>
      <w:r>
        <w:rPr>
          <w:rFonts w:ascii="Arial Narrow" w:hAnsi="Arial Narrow" w:cs="Arial"/>
          <w:i/>
          <w:iCs/>
          <w:spacing w:val="6"/>
          <w:sz w:val="20"/>
          <w:szCs w:val="20"/>
          <w:u w:val="single"/>
        </w:rPr>
        <w:t>del aporte de l</w:t>
      </w:r>
      <w:r w:rsidRPr="005D32F3">
        <w:rPr>
          <w:rFonts w:ascii="Arial Narrow" w:hAnsi="Arial Narrow" w:cs="Arial"/>
          <w:i/>
          <w:iCs/>
          <w:spacing w:val="6"/>
          <w:sz w:val="20"/>
          <w:szCs w:val="20"/>
          <w:u w:val="single"/>
        </w:rPr>
        <w:t>os trabajadores a su servicio.</w:t>
      </w:r>
      <w:r w:rsidRPr="005D32F3">
        <w:rPr>
          <w:rFonts w:ascii="Arial Narrow" w:hAnsi="Arial Narrow" w:cs="Arial"/>
          <w:i/>
          <w:iCs/>
          <w:spacing w:val="6"/>
          <w:sz w:val="20"/>
          <w:szCs w:val="20"/>
        </w:rPr>
        <w:t xml:space="preserve"> Para tal efecto, descontará del salario de cada afiliado, al momento de su pago, el monto de las cotizaciones obligatorias y el de las voluntarias que expresamente haya autorizado por escrito el afiliado, y trasladará estas sumas </w:t>
      </w:r>
      <w:r w:rsidRPr="005D32F3">
        <w:rPr>
          <w:rFonts w:ascii="Arial Narrow" w:hAnsi="Arial Narrow" w:cs="Arial"/>
          <w:bCs/>
          <w:spacing w:val="6"/>
          <w:sz w:val="20"/>
          <w:szCs w:val="20"/>
        </w:rPr>
        <w:t xml:space="preserve">a </w:t>
      </w:r>
      <w:r w:rsidRPr="005D32F3">
        <w:rPr>
          <w:rFonts w:ascii="Arial Narrow" w:hAnsi="Arial Narrow" w:cs="Arial"/>
          <w:i/>
          <w:iCs/>
          <w:spacing w:val="6"/>
          <w:sz w:val="20"/>
          <w:szCs w:val="20"/>
        </w:rPr>
        <w:t>la entidad elegida por el trabajador, junto con las correspondientes a su aporte, (entro  de los plazos que para el efecto determine el gobierno.</w:t>
      </w:r>
    </w:p>
    <w:p w:rsidR="005D32F3" w:rsidRPr="005D32F3" w:rsidRDefault="005D32F3" w:rsidP="005D32F3">
      <w:pPr>
        <w:kinsoku w:val="0"/>
        <w:overflowPunct w:val="0"/>
        <w:spacing w:before="120" w:line="227" w:lineRule="exact"/>
        <w:ind w:left="709" w:right="567"/>
        <w:jc w:val="both"/>
        <w:textAlignment w:val="baseline"/>
        <w:rPr>
          <w:rFonts w:ascii="Arial Narrow" w:hAnsi="Arial Narrow" w:cs="Arial"/>
          <w:i/>
          <w:iCs/>
          <w:spacing w:val="6"/>
          <w:sz w:val="20"/>
          <w:szCs w:val="20"/>
          <w:u w:val="single"/>
        </w:rPr>
      </w:pPr>
      <w:r w:rsidRPr="005D32F3">
        <w:rPr>
          <w:rFonts w:ascii="Arial Narrow" w:hAnsi="Arial Narrow" w:cs="Arial"/>
          <w:i/>
          <w:iCs/>
          <w:spacing w:val="6"/>
          <w:sz w:val="20"/>
          <w:szCs w:val="20"/>
          <w:u w:val="single"/>
        </w:rPr>
        <w:t>El empleador responderá por la totalidad de</w:t>
      </w:r>
      <w:proofErr w:type="gramStart"/>
      <w:r w:rsidRPr="005D32F3">
        <w:rPr>
          <w:rFonts w:ascii="Arial Narrow" w:hAnsi="Arial Narrow" w:cs="Arial"/>
          <w:i/>
          <w:iCs/>
          <w:spacing w:val="6"/>
          <w:sz w:val="20"/>
          <w:szCs w:val="20"/>
          <w:u w:val="single"/>
        </w:rPr>
        <w:t>!</w:t>
      </w:r>
      <w:proofErr w:type="gramEnd"/>
      <w:r w:rsidRPr="005D32F3">
        <w:rPr>
          <w:rFonts w:ascii="Arial Narrow" w:hAnsi="Arial Narrow" w:cs="Arial"/>
          <w:i/>
          <w:iCs/>
          <w:spacing w:val="6"/>
          <w:sz w:val="20"/>
          <w:szCs w:val="20"/>
          <w:u w:val="single"/>
        </w:rPr>
        <w:t xml:space="preserve"> aporte aun en </w:t>
      </w:r>
      <w:r>
        <w:rPr>
          <w:rFonts w:ascii="Arial Narrow" w:hAnsi="Arial Narrow" w:cs="Arial"/>
          <w:i/>
          <w:iCs/>
          <w:spacing w:val="6"/>
          <w:sz w:val="20"/>
          <w:szCs w:val="20"/>
          <w:u w:val="single"/>
        </w:rPr>
        <w:t>el</w:t>
      </w:r>
      <w:r w:rsidRPr="005D32F3">
        <w:rPr>
          <w:rFonts w:ascii="Arial Narrow" w:hAnsi="Arial Narrow" w:cs="Arial"/>
          <w:i/>
          <w:iCs/>
          <w:spacing w:val="6"/>
          <w:sz w:val="20"/>
          <w:szCs w:val="20"/>
          <w:u w:val="single"/>
        </w:rPr>
        <w:t xml:space="preserve"> evento de que no hubiere efectuado </w:t>
      </w:r>
      <w:r>
        <w:rPr>
          <w:rFonts w:ascii="Arial Narrow" w:hAnsi="Arial Narrow" w:cs="Arial"/>
          <w:i/>
          <w:iCs/>
          <w:spacing w:val="6"/>
          <w:sz w:val="20"/>
          <w:szCs w:val="20"/>
          <w:u w:val="single"/>
        </w:rPr>
        <w:t>el</w:t>
      </w:r>
      <w:r w:rsidRPr="005D32F3">
        <w:rPr>
          <w:rFonts w:ascii="Arial Narrow" w:hAnsi="Arial Narrow" w:cs="Arial"/>
          <w:i/>
          <w:iCs/>
          <w:spacing w:val="6"/>
          <w:sz w:val="20"/>
          <w:szCs w:val="20"/>
          <w:u w:val="single"/>
        </w:rPr>
        <w:t xml:space="preserve"> </w:t>
      </w:r>
      <w:r>
        <w:rPr>
          <w:rFonts w:ascii="Arial Narrow" w:hAnsi="Arial Narrow" w:cs="Arial"/>
          <w:i/>
          <w:iCs/>
          <w:spacing w:val="6"/>
          <w:sz w:val="20"/>
          <w:szCs w:val="20"/>
          <w:u w:val="single"/>
        </w:rPr>
        <w:t>descuento al</w:t>
      </w:r>
      <w:r w:rsidRPr="005D32F3">
        <w:rPr>
          <w:rFonts w:ascii="Arial Narrow" w:hAnsi="Arial Narrow" w:cs="Arial"/>
          <w:i/>
          <w:iCs/>
          <w:spacing w:val="6"/>
          <w:sz w:val="20"/>
          <w:szCs w:val="20"/>
          <w:u w:val="single"/>
        </w:rPr>
        <w:t xml:space="preserve"> trabajador</w:t>
      </w:r>
    </w:p>
    <w:p w:rsidR="005D32F3" w:rsidRPr="005D32F3" w:rsidRDefault="005D32F3" w:rsidP="005D32F3">
      <w:pPr>
        <w:kinsoku w:val="0"/>
        <w:overflowPunct w:val="0"/>
        <w:spacing w:before="120" w:line="227" w:lineRule="exact"/>
        <w:ind w:left="709" w:right="567"/>
        <w:jc w:val="both"/>
        <w:textAlignment w:val="baseline"/>
        <w:rPr>
          <w:rFonts w:ascii="Arial Narrow" w:hAnsi="Arial Narrow" w:cs="Arial"/>
          <w:i/>
          <w:iCs/>
          <w:spacing w:val="6"/>
          <w:sz w:val="20"/>
          <w:szCs w:val="20"/>
        </w:rPr>
      </w:pPr>
      <w:r w:rsidRPr="005D32F3">
        <w:rPr>
          <w:rFonts w:ascii="Arial Narrow" w:hAnsi="Arial Narrow" w:cs="Arial"/>
          <w:b/>
          <w:bCs/>
          <w:i/>
          <w:iCs/>
          <w:spacing w:val="6"/>
          <w:sz w:val="20"/>
          <w:szCs w:val="20"/>
        </w:rPr>
        <w:t xml:space="preserve">"ARTICULO. 23.-Sanción moratoria. </w:t>
      </w:r>
      <w:r w:rsidRPr="005D32F3">
        <w:rPr>
          <w:rFonts w:ascii="Arial Narrow" w:hAnsi="Arial Narrow" w:cs="Arial"/>
          <w:i/>
          <w:iCs/>
          <w:spacing w:val="6"/>
          <w:sz w:val="20"/>
          <w:szCs w:val="20"/>
        </w:rPr>
        <w:t>Los aportes que no se consignen dentro de los plazos señ</w:t>
      </w:r>
      <w:r>
        <w:rPr>
          <w:rFonts w:ascii="Arial Narrow" w:hAnsi="Arial Narrow" w:cs="Arial"/>
          <w:i/>
          <w:iCs/>
          <w:spacing w:val="6"/>
          <w:sz w:val="20"/>
          <w:szCs w:val="20"/>
        </w:rPr>
        <w:t>alados para el</w:t>
      </w:r>
      <w:r w:rsidRPr="005D32F3">
        <w:rPr>
          <w:rFonts w:ascii="Arial Narrow" w:hAnsi="Arial Narrow" w:cs="Arial"/>
          <w:i/>
          <w:iCs/>
          <w:spacing w:val="6"/>
          <w:sz w:val="20"/>
          <w:szCs w:val="20"/>
        </w:rPr>
        <w:t xml:space="preserve"> efecto, generarán un interés moratorio a cargo del empleador, igual al que rige para el impuesto sobre la renta y complementarios. Estos intereses se abonarán en el fondo de reparto correspondiente o en las cuentas individuales de ahorro pensional de los respectivos afiliados, según sea el caso.</w:t>
      </w:r>
    </w:p>
    <w:p w:rsidR="005D32F3" w:rsidRDefault="005D32F3" w:rsidP="005D32F3">
      <w:pPr>
        <w:kinsoku w:val="0"/>
        <w:overflowPunct w:val="0"/>
        <w:spacing w:before="120" w:line="227" w:lineRule="exact"/>
        <w:ind w:left="709" w:right="567"/>
        <w:jc w:val="both"/>
        <w:textAlignment w:val="baseline"/>
        <w:rPr>
          <w:rFonts w:ascii="Arial Narrow" w:hAnsi="Arial Narrow" w:cs="Arial"/>
          <w:i/>
          <w:iCs/>
          <w:spacing w:val="6"/>
          <w:sz w:val="20"/>
          <w:szCs w:val="20"/>
        </w:rPr>
      </w:pPr>
      <w:r w:rsidRPr="005D32F3">
        <w:rPr>
          <w:rFonts w:ascii="Arial Narrow" w:hAnsi="Arial Narrow" w:cs="Arial"/>
          <w:b/>
          <w:bCs/>
          <w:i/>
          <w:iCs/>
          <w:spacing w:val="6"/>
          <w:sz w:val="20"/>
          <w:szCs w:val="20"/>
        </w:rPr>
        <w:t xml:space="preserve">ARTICULO. 24.-Acciones de cobro. </w:t>
      </w:r>
      <w:r w:rsidRPr="005D32F3">
        <w:rPr>
          <w:rFonts w:ascii="Arial Narrow" w:hAnsi="Arial Narrow" w:cs="Arial"/>
          <w:i/>
          <w:iCs/>
          <w:spacing w:val="6"/>
          <w:sz w:val="20"/>
          <w:szCs w:val="20"/>
        </w:rPr>
        <w:t>Corresponde a las entidades administradoras de los diferentes regímenes adelantar las acciones de cobro con motivo del incumplimiento de las obligaciones del empleador de conformidad con la reglamentación que expida e</w:t>
      </w:r>
      <w:proofErr w:type="gramStart"/>
      <w:r w:rsidRPr="005D32F3">
        <w:rPr>
          <w:rFonts w:ascii="Arial Narrow" w:hAnsi="Arial Narrow" w:cs="Arial"/>
          <w:i/>
          <w:iCs/>
          <w:spacing w:val="6"/>
          <w:sz w:val="20"/>
          <w:szCs w:val="20"/>
        </w:rPr>
        <w:t>!</w:t>
      </w:r>
      <w:proofErr w:type="gramEnd"/>
      <w:r w:rsidRPr="005D32F3">
        <w:rPr>
          <w:rFonts w:ascii="Arial Narrow" w:hAnsi="Arial Narrow" w:cs="Arial"/>
          <w:i/>
          <w:iCs/>
          <w:spacing w:val="6"/>
          <w:sz w:val="20"/>
          <w:szCs w:val="20"/>
        </w:rPr>
        <w:t xml:space="preserve"> Gobierno Nacional. Para tal efecto, la liquidación mediante la cual la administradora determine el valor adeudado, prestará mérito ejecutivo". (Subrayado fuera del texto)</w:t>
      </w:r>
    </w:p>
    <w:p w:rsidR="005D32F3" w:rsidRPr="005D32F3" w:rsidRDefault="005D32F3" w:rsidP="005D32F3">
      <w:pPr>
        <w:kinsoku w:val="0"/>
        <w:overflowPunct w:val="0"/>
        <w:spacing w:before="120" w:line="227" w:lineRule="exact"/>
        <w:ind w:right="567"/>
        <w:jc w:val="both"/>
        <w:textAlignment w:val="baseline"/>
        <w:rPr>
          <w:rFonts w:ascii="Arial Narrow" w:hAnsi="Arial Narrow" w:cs="Arial"/>
          <w:i/>
          <w:iCs/>
          <w:spacing w:val="6"/>
          <w:sz w:val="20"/>
          <w:szCs w:val="20"/>
        </w:rPr>
      </w:pPr>
      <w:r w:rsidRPr="005D32F3">
        <w:rPr>
          <w:rFonts w:ascii="Arial Narrow" w:hAnsi="Arial Narrow" w:cs="Arial"/>
          <w:iCs/>
          <w:spacing w:val="6"/>
          <w:sz w:val="22"/>
          <w:szCs w:val="22"/>
        </w:rPr>
        <w:t>Tal como se observa, dentro del Sistema Integral de Seguridad Social, se encuentra contemplada la obligatoriedad por parte del empleador de efectuar los respectivos aportes al Sistema General de Pensiones, señalando para el efecto sanciones moratorias y corresponde a las entidades administradoras de los diferentes regímenes adelantar las acciones de cobro con motivo del incumplimiento de tales obligaciones</w:t>
      </w:r>
      <w:r w:rsidRPr="005D32F3">
        <w:rPr>
          <w:rFonts w:ascii="Arial Narrow" w:hAnsi="Arial Narrow" w:cs="Arial"/>
          <w:i/>
          <w:iCs/>
          <w:spacing w:val="6"/>
          <w:sz w:val="20"/>
          <w:szCs w:val="20"/>
        </w:rPr>
        <w:t>.</w:t>
      </w:r>
    </w:p>
    <w:p w:rsidR="005D32F3" w:rsidRPr="005D32F3" w:rsidRDefault="005D32F3" w:rsidP="005D32F3">
      <w:pPr>
        <w:kinsoku w:val="0"/>
        <w:overflowPunct w:val="0"/>
        <w:spacing w:before="120" w:line="227" w:lineRule="exact"/>
        <w:jc w:val="both"/>
        <w:textAlignment w:val="baseline"/>
        <w:rPr>
          <w:rFonts w:ascii="Arial Narrow" w:hAnsi="Arial Narrow" w:cs="Arial"/>
          <w:iCs/>
          <w:sz w:val="22"/>
          <w:szCs w:val="22"/>
        </w:rPr>
      </w:pPr>
      <w:r w:rsidRPr="005D32F3">
        <w:rPr>
          <w:rFonts w:ascii="Arial Narrow" w:hAnsi="Arial Narrow" w:cs="Arial"/>
          <w:iCs/>
          <w:sz w:val="22"/>
          <w:szCs w:val="22"/>
        </w:rPr>
        <w:lastRenderedPageBreak/>
        <w:t>De otro lado, el artículo 2° de la Ley 797 de 2003, dispone que la afiliación al Sistema General de Pensiones es obligatoria para todos los trabajadores dependientes e independientes y el artículo 4° de la citada ley, señala que durante la vigencia de la relación laboral deberán efectuarse cotizaciones obligatorias a los regímenes del Sistema General de Pensiones por parte de los afiliados y empleadores, con base en el salario que aquellos devenguen.</w:t>
      </w:r>
    </w:p>
    <w:p w:rsidR="005D32F3" w:rsidRPr="005D32F3" w:rsidRDefault="005D32F3" w:rsidP="005D32F3">
      <w:pPr>
        <w:kinsoku w:val="0"/>
        <w:overflowPunct w:val="0"/>
        <w:spacing w:before="120" w:line="227" w:lineRule="exact"/>
        <w:jc w:val="both"/>
        <w:textAlignment w:val="baseline"/>
        <w:rPr>
          <w:rFonts w:ascii="Arial Narrow" w:hAnsi="Arial Narrow" w:cs="Arial"/>
          <w:iCs/>
          <w:sz w:val="22"/>
          <w:szCs w:val="22"/>
        </w:rPr>
      </w:pPr>
      <w:r w:rsidRPr="005D32F3">
        <w:rPr>
          <w:rFonts w:ascii="Arial Narrow" w:hAnsi="Arial Narrow" w:cs="Arial"/>
          <w:iCs/>
          <w:sz w:val="22"/>
          <w:szCs w:val="22"/>
        </w:rPr>
        <w:t>Así mismo, el literal d) del parágrafo primero del artículo 9° de la citada Ley 797 de 2003, estipula que se tendrá en cuenta, para efectos del cómputo de las semanas necesarias para acceder a la pensión de vejez, el tiempo de servicios como trabajadores vinculados con empleadores que por omisión, no hubieren afiliado al trabajador. Lo anterior, siempre y cuando el empleador traslade, con base en un cálculo actuarial, la suma correspondiente al lapso en el cual no estuvo cotizando, a satisfacción de la entidad administradora.</w:t>
      </w:r>
    </w:p>
    <w:p w:rsidR="005D32F3" w:rsidRPr="005D32F3" w:rsidRDefault="005D32F3" w:rsidP="005D32F3">
      <w:pPr>
        <w:kinsoku w:val="0"/>
        <w:overflowPunct w:val="0"/>
        <w:spacing w:before="120" w:line="227" w:lineRule="exact"/>
        <w:jc w:val="both"/>
        <w:textAlignment w:val="baseline"/>
        <w:rPr>
          <w:rFonts w:ascii="Arial Narrow" w:hAnsi="Arial Narrow" w:cs="Arial"/>
          <w:iCs/>
          <w:sz w:val="22"/>
          <w:szCs w:val="22"/>
        </w:rPr>
      </w:pPr>
      <w:r w:rsidRPr="005D32F3">
        <w:rPr>
          <w:rFonts w:ascii="Arial Narrow" w:hAnsi="Arial Narrow" w:cs="Arial"/>
          <w:iCs/>
          <w:sz w:val="22"/>
          <w:szCs w:val="22"/>
        </w:rPr>
        <w:t xml:space="preserve">Por tanto, el empleador deberá solicitar a la Administradora de Pensiones que haya elegido el trabajador (ya sea en el Régimen de Prima Media con Prestación Definida, administrado por </w:t>
      </w:r>
      <w:proofErr w:type="spellStart"/>
      <w:r w:rsidRPr="005D32F3">
        <w:rPr>
          <w:rFonts w:ascii="Arial Narrow" w:hAnsi="Arial Narrow" w:cs="Arial"/>
          <w:iCs/>
          <w:sz w:val="22"/>
          <w:szCs w:val="22"/>
        </w:rPr>
        <w:t>Colpensiones</w:t>
      </w:r>
      <w:proofErr w:type="spellEnd"/>
      <w:r w:rsidRPr="005D32F3">
        <w:rPr>
          <w:rFonts w:ascii="Arial Narrow" w:hAnsi="Arial Narrow" w:cs="Arial"/>
          <w:iCs/>
          <w:sz w:val="22"/>
          <w:szCs w:val="22"/>
        </w:rPr>
        <w:t>, o en el Régimen de Ahorro Individual con Solidaridad, a cargo de las Administradoras de Fondos de Pensiones), la elaboración del respectivo cálculo actuarial y una vez efectuada la liquidación, proceder a cancelar el valor respectivo, va que de lo cont</w:t>
      </w:r>
      <w:r>
        <w:rPr>
          <w:rFonts w:ascii="Arial Narrow" w:hAnsi="Arial Narrow" w:cs="Arial"/>
          <w:iCs/>
          <w:sz w:val="22"/>
          <w:szCs w:val="22"/>
        </w:rPr>
        <w:t>rari</w:t>
      </w:r>
      <w:r w:rsidRPr="005D32F3">
        <w:rPr>
          <w:rFonts w:ascii="Arial Narrow" w:hAnsi="Arial Narrow" w:cs="Arial"/>
          <w:iCs/>
          <w:sz w:val="22"/>
          <w:szCs w:val="22"/>
        </w:rPr>
        <w:t>o la  entidad administradora no convalidará el tiempo no cotizado, para el reconocimiento de la pensión de vejez.</w:t>
      </w:r>
    </w:p>
    <w:p w:rsidR="005D32F3" w:rsidRDefault="005D32F3" w:rsidP="005D32F3">
      <w:pPr>
        <w:kinsoku w:val="0"/>
        <w:overflowPunct w:val="0"/>
        <w:spacing w:before="120" w:line="227" w:lineRule="exact"/>
        <w:jc w:val="both"/>
        <w:textAlignment w:val="baseline"/>
        <w:rPr>
          <w:rFonts w:ascii="Arial Narrow" w:hAnsi="Arial Narrow" w:cs="Arial"/>
          <w:iCs/>
          <w:sz w:val="22"/>
          <w:szCs w:val="22"/>
        </w:rPr>
      </w:pPr>
      <w:r w:rsidRPr="005D32F3">
        <w:rPr>
          <w:rFonts w:ascii="Arial Narrow" w:hAnsi="Arial Narrow" w:cs="Arial"/>
          <w:iCs/>
          <w:sz w:val="22"/>
          <w:szCs w:val="22"/>
        </w:rPr>
        <w:t>En conclusión, este es el procedimiento para que la entidad administradora pueda convalidar el '(tiempo en el cual el empleador no efectuó las cotizaciones al Sistema de Pensiones.</w:t>
      </w:r>
    </w:p>
    <w:p w:rsidR="005D32F3" w:rsidRPr="005D32F3" w:rsidRDefault="005D32F3" w:rsidP="005D32F3">
      <w:pPr>
        <w:kinsoku w:val="0"/>
        <w:overflowPunct w:val="0"/>
        <w:spacing w:before="120" w:line="227" w:lineRule="exact"/>
        <w:jc w:val="both"/>
        <w:textAlignment w:val="baseline"/>
        <w:rPr>
          <w:rFonts w:ascii="Arial Narrow" w:hAnsi="Arial Narrow" w:cs="Arial"/>
          <w:iCs/>
          <w:sz w:val="22"/>
          <w:szCs w:val="22"/>
        </w:rPr>
      </w:pPr>
      <w:r w:rsidRPr="005D32F3">
        <w:rPr>
          <w:rFonts w:ascii="Arial Narrow" w:hAnsi="Arial Narrow" w:cs="Arial"/>
          <w:iCs/>
          <w:sz w:val="22"/>
          <w:szCs w:val="22"/>
        </w:rPr>
        <w:t>En este sentido damos respuesta a su comunicación, no sin antes advertir que este concepto tiene los alcances determinados en el artículo 28 del Código de Procedimiento Administrativo y de lo Contencioso Administrativo.</w:t>
      </w:r>
    </w:p>
    <w:p w:rsidR="005D32F3" w:rsidRPr="005D32F3" w:rsidRDefault="005D32F3" w:rsidP="005D32F3">
      <w:pPr>
        <w:kinsoku w:val="0"/>
        <w:overflowPunct w:val="0"/>
        <w:spacing w:before="288" w:line="227" w:lineRule="exact"/>
        <w:ind w:left="708" w:right="567"/>
        <w:jc w:val="both"/>
        <w:textAlignment w:val="baseline"/>
        <w:rPr>
          <w:rFonts w:ascii="Arial Narrow" w:hAnsi="Arial Narrow" w:cs="Arial"/>
          <w:i/>
          <w:iCs/>
          <w:spacing w:val="6"/>
          <w:sz w:val="20"/>
          <w:szCs w:val="20"/>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AD" w:rsidRDefault="00EC73AD">
      <w:r>
        <w:separator/>
      </w:r>
    </w:p>
  </w:endnote>
  <w:endnote w:type="continuationSeparator" w:id="0">
    <w:p w:rsidR="00EC73AD" w:rsidRDefault="00EC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EC73AD"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0EBB">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EC73AD">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EC73AD" w:rsidP="00E10C8A">
                          <w:pPr>
                            <w:pStyle w:val="Piedepgina"/>
                          </w:pPr>
                        </w:p>
                        <w:p w:rsidR="00D779BE" w:rsidRPr="00BF1BA0" w:rsidRDefault="00EC73AD">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5D32F3">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5D32F3" w:rsidP="00E10C8A">
                    <w:pPr>
                      <w:pStyle w:val="Piedepgina"/>
                    </w:pPr>
                  </w:p>
                  <w:p w:rsidR="00D779BE" w:rsidRPr="00BF1BA0" w:rsidRDefault="005D32F3">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EC73AD">
    <w:pPr>
      <w:pStyle w:val="Piedepgina"/>
      <w:rPr>
        <w:rFonts w:ascii="Arial Narrow" w:hAnsi="Arial Narrow"/>
        <w:sz w:val="18"/>
        <w:szCs w:val="18"/>
        <w:lang w:val="es-MX"/>
      </w:rPr>
    </w:pPr>
  </w:p>
  <w:p w:rsidR="00D779BE" w:rsidRDefault="00EC73AD">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AD" w:rsidRDefault="00EC73AD">
      <w:r>
        <w:separator/>
      </w:r>
    </w:p>
  </w:footnote>
  <w:footnote w:type="continuationSeparator" w:id="0">
    <w:p w:rsidR="00EC73AD" w:rsidRDefault="00EC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EC73AD">
          <w:pPr>
            <w:pStyle w:val="Encabezado"/>
            <w:tabs>
              <w:tab w:val="center" w:pos="1134"/>
            </w:tabs>
          </w:pPr>
        </w:p>
      </w:tc>
      <w:tc>
        <w:tcPr>
          <w:tcW w:w="4316" w:type="dxa"/>
          <w:vAlign w:val="center"/>
        </w:tcPr>
        <w:p w:rsidR="00D779BE" w:rsidRDefault="00EC73AD">
          <w:pPr>
            <w:pStyle w:val="Encabezado"/>
            <w:rPr>
              <w:rFonts w:ascii="Arial Narrow" w:hAnsi="Arial Narrow"/>
              <w:b/>
            </w:rPr>
          </w:pPr>
        </w:p>
        <w:p w:rsidR="00D779BE" w:rsidRDefault="00EC73AD">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EC73AD">
          <w:pPr>
            <w:pStyle w:val="Encabezado"/>
            <w:jc w:val="right"/>
          </w:pPr>
        </w:p>
        <w:p w:rsidR="00D779BE" w:rsidRDefault="00EC73AD">
          <w:pPr>
            <w:pStyle w:val="Encabezado"/>
            <w:jc w:val="right"/>
          </w:pPr>
        </w:p>
        <w:p w:rsidR="00D779BE" w:rsidRDefault="004C2EE1" w:rsidP="00BF1BA0">
          <w:pPr>
            <w:pStyle w:val="Encabezado"/>
            <w:jc w:val="center"/>
          </w:pPr>
          <w:r>
            <w:t xml:space="preserve">                          </w:t>
          </w:r>
        </w:p>
      </w:tc>
    </w:tr>
  </w:tbl>
  <w:p w:rsidR="00D779BE" w:rsidRDefault="00EC73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1">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3">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4">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5">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6">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7">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
  </w:num>
  <w:num w:numId="2">
    <w:abstractNumId w:val="7"/>
  </w:num>
  <w:num w:numId="3">
    <w:abstractNumId w:val="10"/>
  </w:num>
  <w:num w:numId="4">
    <w:abstractNumId w:val="9"/>
  </w:num>
  <w:num w:numId="5">
    <w:abstractNumId w:val="12"/>
  </w:num>
  <w:num w:numId="6">
    <w:abstractNumId w:val="11"/>
  </w:num>
  <w:num w:numId="7">
    <w:abstractNumId w:val="8"/>
  </w:num>
  <w:num w:numId="8">
    <w:abstractNumId w:val="3"/>
  </w:num>
  <w:num w:numId="9">
    <w:abstractNumId w:val="6"/>
  </w:num>
  <w:num w:numId="10">
    <w:abstractNumId w:val="6"/>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4"/>
  </w:num>
  <w:num w:numId="12">
    <w:abstractNumId w:val="2"/>
  </w:num>
  <w:num w:numId="13">
    <w:abstractNumId w:val="5"/>
  </w:num>
  <w:num w:numId="14">
    <w:abstractNumId w:val="0"/>
  </w:num>
  <w:num w:numId="15">
    <w:abstractNumId w:val="0"/>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0EB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D32F3"/>
    <w:rsid w:val="005F4869"/>
    <w:rsid w:val="00620B96"/>
    <w:rsid w:val="00656381"/>
    <w:rsid w:val="0066152A"/>
    <w:rsid w:val="00686D35"/>
    <w:rsid w:val="00687246"/>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D2BBF"/>
    <w:rsid w:val="008D6A64"/>
    <w:rsid w:val="008E671C"/>
    <w:rsid w:val="00936C13"/>
    <w:rsid w:val="00954EFE"/>
    <w:rsid w:val="00955DAD"/>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C73AD"/>
    <w:rsid w:val="00EE61B7"/>
    <w:rsid w:val="00EE65D1"/>
    <w:rsid w:val="00EF0AC6"/>
    <w:rsid w:val="00EF3BC7"/>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2014-10-16T16:11:00Z</dcterms:created>
  <dcterms:modified xsi:type="dcterms:W3CDTF">2014-10-16T16:11:00Z</dcterms:modified>
</cp:coreProperties>
</file>