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bookmarkStart w:id="0" w:name="_GoBack"/>
      <w:bookmarkEnd w:id="0"/>
      <w:r>
        <w:rPr>
          <w:rFonts w:ascii="Arial Narrow" w:hAnsi="Arial Narrow" w:cs="Arial"/>
          <w:b/>
        </w:rPr>
        <w:t xml:space="preserve">Concepto </w:t>
      </w:r>
      <w:r w:rsidR="002E1972">
        <w:rPr>
          <w:rFonts w:ascii="Arial Narrow" w:hAnsi="Arial Narrow" w:cs="Arial"/>
          <w:b/>
        </w:rPr>
        <w:t>147257</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 xml:space="preserve">Bogotá, D.C. </w:t>
      </w:r>
      <w:r w:rsidR="002E1972">
        <w:rPr>
          <w:rFonts w:ascii="Arial Narrow" w:hAnsi="Arial Narrow" w:cs="Arial"/>
        </w:rPr>
        <w:t>29</w:t>
      </w:r>
      <w:r>
        <w:rPr>
          <w:rFonts w:ascii="Arial Narrow" w:hAnsi="Arial Narrow" w:cs="Arial"/>
        </w:rPr>
        <w:t xml:space="preserve"> </w:t>
      </w:r>
      <w:r w:rsidR="002E1972">
        <w:rPr>
          <w:rFonts w:ascii="Arial Narrow" w:hAnsi="Arial Narrow" w:cs="Arial"/>
        </w:rPr>
        <w:t>AGO</w:t>
      </w:r>
      <w:r>
        <w:rPr>
          <w:rFonts w:ascii="Arial Narrow" w:hAnsi="Arial Narrow" w:cs="Arial"/>
        </w:rPr>
        <w:t xml:space="preserve">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 xml:space="preserve">Radicado </w:t>
      </w:r>
      <w:r w:rsidR="002E1972" w:rsidRPr="002E1972">
        <w:rPr>
          <w:rFonts w:ascii="Arial Narrow" w:hAnsi="Arial Narrow" w:cs="Arial"/>
          <w:b/>
        </w:rPr>
        <w:t>ID 35856</w:t>
      </w:r>
      <w:r w:rsidR="002E1972">
        <w:rPr>
          <w:rFonts w:ascii="Arial Narrow" w:hAnsi="Arial Narrow" w:cs="Arial"/>
          <w:b/>
        </w:rPr>
        <w:t xml:space="preserve"> </w:t>
      </w:r>
      <w:r w:rsidR="002E1972" w:rsidRPr="002E1972">
        <w:rPr>
          <w:rFonts w:ascii="Arial Narrow" w:hAnsi="Arial Narrow" w:cs="Arial"/>
          <w:b/>
        </w:rPr>
        <w:t>Pensión especial de alto riesgo</w:t>
      </w:r>
    </w:p>
    <w:p w:rsidR="002E1972" w:rsidRPr="002E1972" w:rsidRDefault="002E1972" w:rsidP="002E1972">
      <w:pPr>
        <w:kinsoku w:val="0"/>
        <w:overflowPunct w:val="0"/>
        <w:spacing w:before="246" w:line="258" w:lineRule="exact"/>
        <w:ind w:right="72"/>
        <w:jc w:val="both"/>
        <w:textAlignment w:val="baseline"/>
        <w:rPr>
          <w:rFonts w:ascii="Arial Narrow" w:hAnsi="Arial Narrow" w:cs="Arial"/>
          <w:sz w:val="22"/>
          <w:szCs w:val="22"/>
        </w:rPr>
      </w:pPr>
      <w:r w:rsidRPr="002E1972">
        <w:rPr>
          <w:rFonts w:ascii="Arial Narrow" w:hAnsi="Arial Narrow" w:cs="Arial"/>
          <w:sz w:val="22"/>
          <w:szCs w:val="22"/>
        </w:rPr>
        <w:t>De manera atenta, damos respuesta a su comunicación radicada con el número del asunto, mediante la cual solicita el concepto emitido por esta Oficina Jurídica referente a la pensión especial de vejez para las personas que realicen actividades con exposición a radiaciones ionizantes, y consulta ¿Qué sanciones se encuentran previstas para los empleadores que omitan el pago de las cotizaciones especiales?</w:t>
      </w:r>
    </w:p>
    <w:p w:rsidR="002E1972" w:rsidRPr="002E1972" w:rsidRDefault="002E1972" w:rsidP="002E1972">
      <w:pPr>
        <w:kinsoku w:val="0"/>
        <w:overflowPunct w:val="0"/>
        <w:spacing w:before="245" w:line="260" w:lineRule="exact"/>
        <w:ind w:right="72"/>
        <w:jc w:val="both"/>
        <w:textAlignment w:val="baseline"/>
        <w:rPr>
          <w:rFonts w:ascii="Arial Narrow" w:hAnsi="Arial Narrow" w:cs="Arial"/>
          <w:sz w:val="22"/>
          <w:szCs w:val="22"/>
        </w:rPr>
      </w:pPr>
      <w:r w:rsidRPr="002E1972">
        <w:rPr>
          <w:rFonts w:ascii="Arial Narrow" w:hAnsi="Arial Narrow" w:cs="Arial"/>
          <w:sz w:val="22"/>
          <w:szCs w:val="22"/>
        </w:rPr>
        <w:t>Sobre las actividades de alto riesgo y la pensión especial de vejez, esta Oficina Jurídica ha conceptuado lo siguiente:</w:t>
      </w:r>
    </w:p>
    <w:p w:rsidR="002E1972" w:rsidRPr="002E1972" w:rsidRDefault="002E1972" w:rsidP="002E1972">
      <w:pPr>
        <w:kinsoku w:val="0"/>
        <w:overflowPunct w:val="0"/>
        <w:spacing w:before="249" w:line="254" w:lineRule="exact"/>
        <w:ind w:right="72"/>
        <w:jc w:val="both"/>
        <w:textAlignment w:val="baseline"/>
        <w:rPr>
          <w:rFonts w:ascii="Arial Narrow" w:hAnsi="Arial Narrow" w:cs="Arial"/>
          <w:sz w:val="22"/>
          <w:szCs w:val="22"/>
        </w:rPr>
      </w:pPr>
      <w:r w:rsidRPr="002E1972">
        <w:rPr>
          <w:rFonts w:ascii="Arial Narrow" w:hAnsi="Arial Narrow" w:cs="Arial"/>
          <w:sz w:val="22"/>
          <w:szCs w:val="22"/>
        </w:rPr>
        <w:t xml:space="preserve">La Ley 797 de 2003 concedió facultades extraordinarias al Presidente de la República, para expedir o modificar las normas relacionadas con el régimen legal para los </w:t>
      </w:r>
      <w:r w:rsidRPr="002E1972">
        <w:rPr>
          <w:rFonts w:ascii="Arial Narrow" w:hAnsi="Arial Narrow" w:cs="Arial"/>
          <w:sz w:val="22"/>
          <w:szCs w:val="22"/>
          <w:u w:val="single"/>
        </w:rPr>
        <w:t>trabajadores que laboran en actividades de alto riesgo para la salud</w:t>
      </w:r>
      <w:r w:rsidRPr="002E1972">
        <w:rPr>
          <w:rFonts w:ascii="Arial Narrow" w:hAnsi="Arial Narrow" w:cs="Arial"/>
          <w:sz w:val="22"/>
          <w:szCs w:val="22"/>
        </w:rPr>
        <w:t xml:space="preserve"> y en particular para modificar y dictar las normas sobre condiciones, requisitos y beneficios, así como para establecer un ajuste a las tasas de cotización, hasta en </w:t>
      </w:r>
      <w:r w:rsidRPr="002E1972">
        <w:rPr>
          <w:rFonts w:ascii="Arial Narrow" w:hAnsi="Arial Narrow" w:cs="Arial"/>
          <w:b/>
          <w:bCs/>
          <w:sz w:val="22"/>
          <w:szCs w:val="22"/>
        </w:rPr>
        <w:t xml:space="preserve">10 puntos </w:t>
      </w:r>
      <w:r w:rsidRPr="002E1972">
        <w:rPr>
          <w:rFonts w:ascii="Arial Narrow" w:hAnsi="Arial Narrow" w:cs="Arial"/>
          <w:sz w:val="22"/>
          <w:szCs w:val="22"/>
        </w:rPr>
        <w:t>a cargo del empleador.</w:t>
      </w:r>
    </w:p>
    <w:p w:rsidR="002E1972" w:rsidRDefault="002E1972" w:rsidP="002E1972">
      <w:pPr>
        <w:kinsoku w:val="0"/>
        <w:overflowPunct w:val="0"/>
        <w:spacing w:before="252" w:line="258" w:lineRule="exact"/>
        <w:ind w:right="72"/>
        <w:jc w:val="both"/>
        <w:textAlignment w:val="baseline"/>
        <w:rPr>
          <w:rFonts w:ascii="Arial Narrow" w:hAnsi="Arial Narrow" w:cs="Arial"/>
          <w:sz w:val="22"/>
          <w:szCs w:val="22"/>
        </w:rPr>
      </w:pPr>
      <w:r w:rsidRPr="002E1972">
        <w:rPr>
          <w:rFonts w:ascii="Arial Narrow" w:hAnsi="Arial Narrow" w:cs="Arial"/>
          <w:sz w:val="22"/>
          <w:szCs w:val="22"/>
        </w:rPr>
        <w:t>En uso de esas precisas facultades el Gobierno Nacional expidió el Decreto 2090 de 2003, aplicable a todos los trabajadores que laboren en actividades consideradas de alto riesgo para la salud, el cual establece:</w:t>
      </w:r>
    </w:p>
    <w:p w:rsidR="002E1972" w:rsidRPr="002E1972" w:rsidRDefault="002E1972" w:rsidP="002E1972">
      <w:pPr>
        <w:kinsoku w:val="0"/>
        <w:overflowPunct w:val="0"/>
        <w:spacing w:before="269" w:line="232" w:lineRule="exact"/>
        <w:ind w:left="576" w:right="576"/>
        <w:jc w:val="both"/>
        <w:textAlignment w:val="baseline"/>
        <w:rPr>
          <w:rFonts w:ascii="Arial Narrow" w:hAnsi="Arial Narrow" w:cs="Arial"/>
          <w:i/>
          <w:iCs/>
          <w:sz w:val="20"/>
          <w:szCs w:val="20"/>
        </w:rPr>
      </w:pPr>
      <w:r>
        <w:rPr>
          <w:rFonts w:ascii="Arial Narrow" w:hAnsi="Arial Narrow" w:cs="Arial"/>
          <w:i/>
          <w:iCs/>
          <w:sz w:val="20"/>
          <w:szCs w:val="20"/>
        </w:rPr>
        <w:t xml:space="preserve">Que el </w:t>
      </w:r>
      <w:r w:rsidRPr="002E1972">
        <w:rPr>
          <w:rFonts w:ascii="Arial Narrow" w:hAnsi="Arial Narrow" w:cs="Arial"/>
          <w:i/>
          <w:iCs/>
          <w:sz w:val="20"/>
          <w:szCs w:val="20"/>
        </w:rPr>
        <w:t xml:space="preserve"> beneficio conferido a los trabajadores de que trata el presente decreto consiste en una </w:t>
      </w:r>
      <w:r w:rsidRPr="002E1972">
        <w:rPr>
          <w:rFonts w:ascii="Arial Narrow" w:hAnsi="Arial Narrow" w:cs="Arial"/>
          <w:i/>
          <w:iCs/>
          <w:sz w:val="20"/>
          <w:szCs w:val="20"/>
          <w:u w:val="single"/>
        </w:rPr>
        <w:t>prestación definida consistente en acceder a! beneficio pensiona) a edades inferiores a las establecidas para la generalidad de los trabajadores,</w:t>
      </w:r>
      <w:r w:rsidRPr="002E1972">
        <w:rPr>
          <w:rFonts w:ascii="Arial Narrow" w:hAnsi="Arial Narrow" w:cs="Arial"/>
          <w:i/>
          <w:iCs/>
          <w:sz w:val="20"/>
          <w:szCs w:val="20"/>
        </w:rPr>
        <w:t xml:space="preserve"> en atención a la reducción de vida saludable a la que se ven expuestos y a la mayor cotización pagada por los empleadores,"</w:t>
      </w:r>
    </w:p>
    <w:p w:rsidR="002E1972" w:rsidRDefault="002E1972" w:rsidP="002E1972">
      <w:pPr>
        <w:kinsoku w:val="0"/>
        <w:overflowPunct w:val="0"/>
        <w:spacing w:before="120" w:line="259" w:lineRule="exact"/>
        <w:jc w:val="both"/>
        <w:textAlignment w:val="baseline"/>
        <w:rPr>
          <w:rFonts w:ascii="Arial Narrow" w:hAnsi="Arial Narrow" w:cs="Arial"/>
          <w:sz w:val="22"/>
          <w:szCs w:val="22"/>
        </w:rPr>
      </w:pPr>
      <w:r w:rsidRPr="002E1972">
        <w:rPr>
          <w:rFonts w:ascii="Arial Narrow" w:hAnsi="Arial Narrow" w:cs="Arial"/>
          <w:sz w:val="22"/>
          <w:szCs w:val="22"/>
        </w:rPr>
        <w:t>En este sentido, la norma contempla una prestación definida que permite a los trabajadores que laboren en</w:t>
      </w:r>
      <w:r>
        <w:rPr>
          <w:rFonts w:ascii="Arial Narrow" w:hAnsi="Arial Narrow" w:cs="Arial"/>
          <w:sz w:val="22"/>
          <w:szCs w:val="22"/>
        </w:rPr>
        <w:t xml:space="preserve"> </w:t>
      </w:r>
      <w:r w:rsidRPr="002E1972">
        <w:rPr>
          <w:rFonts w:ascii="Arial Narrow" w:hAnsi="Arial Narrow" w:cs="Arial"/>
          <w:sz w:val="22"/>
          <w:szCs w:val="22"/>
        </w:rPr>
        <w:t xml:space="preserve">actividades consideradas de alto riesgo para la salud, acceder a un beneficio </w:t>
      </w:r>
      <w:r>
        <w:rPr>
          <w:rFonts w:ascii="Arial Narrow" w:hAnsi="Arial Narrow" w:cs="Arial"/>
          <w:sz w:val="22"/>
          <w:szCs w:val="22"/>
        </w:rPr>
        <w:t>p</w:t>
      </w:r>
      <w:r w:rsidRPr="002E1972">
        <w:rPr>
          <w:rFonts w:ascii="Arial Narrow" w:hAnsi="Arial Narrow" w:cs="Arial"/>
          <w:sz w:val="22"/>
          <w:szCs w:val="22"/>
        </w:rPr>
        <w:t>ensional a edades inferiores a las establecidas para la generalidad de los trabajadores.</w:t>
      </w:r>
    </w:p>
    <w:p w:rsidR="002E1972" w:rsidRDefault="002E1972" w:rsidP="002E1972">
      <w:pPr>
        <w:kinsoku w:val="0"/>
        <w:overflowPunct w:val="0"/>
        <w:spacing w:before="24" w:line="248" w:lineRule="exact"/>
        <w:jc w:val="both"/>
        <w:textAlignment w:val="baseline"/>
        <w:rPr>
          <w:rFonts w:ascii="Arial Narrow" w:hAnsi="Arial Narrow" w:cs="Arial"/>
          <w:sz w:val="22"/>
          <w:szCs w:val="22"/>
        </w:rPr>
      </w:pPr>
      <w:r w:rsidRPr="002E1972">
        <w:rPr>
          <w:rFonts w:ascii="Arial Narrow" w:hAnsi="Arial Narrow" w:cs="Arial"/>
          <w:sz w:val="22"/>
          <w:szCs w:val="22"/>
        </w:rPr>
        <w:t xml:space="preserve">Así mismo, la norma ibídem definió </w:t>
      </w:r>
      <w:r w:rsidRPr="002E1972">
        <w:rPr>
          <w:rFonts w:ascii="Arial Narrow" w:hAnsi="Arial Narrow" w:cs="Arial"/>
          <w:sz w:val="22"/>
          <w:szCs w:val="22"/>
          <w:u w:val="single"/>
        </w:rPr>
        <w:t>taxativamente</w:t>
      </w:r>
      <w:r w:rsidRPr="002E1972">
        <w:rPr>
          <w:rFonts w:ascii="Arial Narrow" w:hAnsi="Arial Narrow" w:cs="Arial"/>
          <w:sz w:val="22"/>
          <w:szCs w:val="22"/>
        </w:rPr>
        <w:t xml:space="preserve"> cuáles actividades son clasificadas como de alto riesgo para la salud del trabajador, así:</w:t>
      </w:r>
    </w:p>
    <w:p w:rsidR="002E1972" w:rsidRPr="002E1972" w:rsidRDefault="002E1972" w:rsidP="002E1972">
      <w:pPr>
        <w:kinsoku w:val="0"/>
        <w:overflowPunct w:val="0"/>
        <w:spacing w:before="120" w:line="228" w:lineRule="exact"/>
        <w:ind w:left="646" w:right="567"/>
        <w:jc w:val="both"/>
        <w:textAlignment w:val="baseline"/>
        <w:rPr>
          <w:rFonts w:ascii="Arial Narrow" w:hAnsi="Arial Narrow" w:cs="Arial"/>
          <w:i/>
          <w:iCs/>
          <w:sz w:val="20"/>
          <w:szCs w:val="20"/>
        </w:rPr>
      </w:pPr>
      <w:r w:rsidRPr="002E1972">
        <w:rPr>
          <w:rFonts w:ascii="Arial Narrow" w:hAnsi="Arial Narrow" w:cs="Arial"/>
          <w:sz w:val="20"/>
          <w:szCs w:val="20"/>
        </w:rPr>
        <w:tab/>
      </w:r>
      <w:r w:rsidRPr="002E1972">
        <w:rPr>
          <w:rFonts w:ascii="Arial Narrow" w:hAnsi="Arial Narrow" w:cs="Arial"/>
          <w:i/>
          <w:iCs/>
          <w:sz w:val="20"/>
          <w:szCs w:val="20"/>
        </w:rPr>
        <w:t>"Artículo 2°. Actividades de alto riesgo para la salud del trabajador Se consideran actividades de alto riesgo para la salud de los trabajadores las siguientes:</w:t>
      </w:r>
    </w:p>
    <w:p w:rsidR="002E1972" w:rsidRPr="002E1972" w:rsidRDefault="002E1972" w:rsidP="002E1972">
      <w:pPr>
        <w:widowControl w:val="0"/>
        <w:numPr>
          <w:ilvl w:val="0"/>
          <w:numId w:val="11"/>
        </w:numPr>
        <w:kinsoku w:val="0"/>
        <w:overflowPunct w:val="0"/>
        <w:spacing w:before="120" w:line="229" w:lineRule="exact"/>
        <w:ind w:left="646" w:right="567"/>
        <w:jc w:val="both"/>
        <w:textAlignment w:val="baseline"/>
        <w:rPr>
          <w:rFonts w:ascii="Arial Narrow" w:hAnsi="Arial Narrow" w:cs="Arial"/>
          <w:i/>
          <w:iCs/>
          <w:spacing w:val="4"/>
          <w:sz w:val="20"/>
          <w:szCs w:val="20"/>
        </w:rPr>
      </w:pPr>
      <w:r w:rsidRPr="002E1972">
        <w:rPr>
          <w:rFonts w:ascii="Arial Narrow" w:hAnsi="Arial Narrow" w:cs="Arial"/>
          <w:i/>
          <w:iCs/>
          <w:spacing w:val="4"/>
          <w:sz w:val="20"/>
          <w:szCs w:val="20"/>
        </w:rPr>
        <w:t>Trabajos en minería que impliquen prestare</w:t>
      </w:r>
      <w:proofErr w:type="gramStart"/>
      <w:r w:rsidRPr="002E1972">
        <w:rPr>
          <w:rFonts w:ascii="Arial Narrow" w:hAnsi="Arial Narrow" w:cs="Arial"/>
          <w:i/>
          <w:iCs/>
          <w:spacing w:val="4"/>
          <w:sz w:val="20"/>
          <w:szCs w:val="20"/>
        </w:rPr>
        <w:t>!</w:t>
      </w:r>
      <w:proofErr w:type="gramEnd"/>
      <w:r w:rsidRPr="002E1972">
        <w:rPr>
          <w:rFonts w:ascii="Arial Narrow" w:hAnsi="Arial Narrow" w:cs="Arial"/>
          <w:i/>
          <w:iCs/>
          <w:spacing w:val="4"/>
          <w:sz w:val="20"/>
          <w:szCs w:val="20"/>
        </w:rPr>
        <w:t xml:space="preserve"> servicio en socavones o en subterráneos.</w:t>
      </w:r>
    </w:p>
    <w:p w:rsidR="002E1972" w:rsidRPr="002E1972" w:rsidRDefault="002E1972" w:rsidP="002E1972">
      <w:pPr>
        <w:widowControl w:val="0"/>
        <w:numPr>
          <w:ilvl w:val="0"/>
          <w:numId w:val="11"/>
        </w:numPr>
        <w:kinsoku w:val="0"/>
        <w:overflowPunct w:val="0"/>
        <w:spacing w:before="120" w:line="229" w:lineRule="exact"/>
        <w:ind w:left="646" w:right="567"/>
        <w:jc w:val="both"/>
        <w:textAlignment w:val="baseline"/>
        <w:rPr>
          <w:rFonts w:ascii="Arial Narrow" w:hAnsi="Arial Narrow" w:cs="Arial"/>
          <w:i/>
          <w:iCs/>
          <w:sz w:val="20"/>
          <w:szCs w:val="20"/>
        </w:rPr>
      </w:pPr>
      <w:r w:rsidRPr="002E1972">
        <w:rPr>
          <w:rFonts w:ascii="Arial Narrow" w:hAnsi="Arial Narrow" w:cs="Arial"/>
          <w:i/>
          <w:iCs/>
          <w:sz w:val="20"/>
          <w:szCs w:val="20"/>
        </w:rPr>
        <w:t>Trabajos que impliquen la exposición a altas temperaturas, por encima de los valores límites permisibles, determinados por las normas técnicas de salud ocupacional.</w:t>
      </w:r>
    </w:p>
    <w:p w:rsidR="002E1972" w:rsidRPr="002E1972" w:rsidRDefault="002E1972" w:rsidP="002E1972">
      <w:pPr>
        <w:widowControl w:val="0"/>
        <w:numPr>
          <w:ilvl w:val="0"/>
          <w:numId w:val="12"/>
        </w:numPr>
        <w:kinsoku w:val="0"/>
        <w:overflowPunct w:val="0"/>
        <w:spacing w:before="120" w:line="228" w:lineRule="exact"/>
        <w:ind w:left="646" w:right="567"/>
        <w:jc w:val="both"/>
        <w:textAlignment w:val="baseline"/>
        <w:rPr>
          <w:rFonts w:ascii="Arial Narrow" w:hAnsi="Arial Narrow" w:cs="Arial"/>
          <w:b/>
          <w:bCs/>
          <w:i/>
          <w:iCs/>
          <w:spacing w:val="3"/>
          <w:sz w:val="20"/>
          <w:szCs w:val="20"/>
        </w:rPr>
      </w:pPr>
      <w:r w:rsidRPr="002E1972">
        <w:rPr>
          <w:rFonts w:ascii="Arial Narrow" w:hAnsi="Arial Narrow" w:cs="Arial"/>
          <w:b/>
          <w:bCs/>
          <w:i/>
          <w:iCs/>
          <w:spacing w:val="3"/>
          <w:sz w:val="20"/>
          <w:szCs w:val="20"/>
        </w:rPr>
        <w:t>Trabajos con exposición a radiaciones ionizantes.</w:t>
      </w:r>
    </w:p>
    <w:p w:rsidR="002E1972" w:rsidRPr="002E1972" w:rsidRDefault="002E1972" w:rsidP="002E1972">
      <w:pPr>
        <w:widowControl w:val="0"/>
        <w:numPr>
          <w:ilvl w:val="0"/>
          <w:numId w:val="11"/>
        </w:numPr>
        <w:kinsoku w:val="0"/>
        <w:overflowPunct w:val="0"/>
        <w:spacing w:before="120" w:line="226" w:lineRule="exact"/>
        <w:ind w:left="646" w:right="567"/>
        <w:jc w:val="both"/>
        <w:textAlignment w:val="baseline"/>
        <w:rPr>
          <w:rFonts w:ascii="Arial Narrow" w:hAnsi="Arial Narrow" w:cs="Arial"/>
          <w:i/>
          <w:iCs/>
          <w:spacing w:val="3"/>
          <w:sz w:val="20"/>
          <w:szCs w:val="20"/>
        </w:rPr>
      </w:pPr>
      <w:r w:rsidRPr="002E1972">
        <w:rPr>
          <w:rFonts w:ascii="Arial Narrow" w:hAnsi="Arial Narrow" w:cs="Arial"/>
          <w:i/>
          <w:iCs/>
          <w:spacing w:val="3"/>
          <w:sz w:val="20"/>
          <w:szCs w:val="20"/>
        </w:rPr>
        <w:t>Trabajos con exposición a sustancias comprobadamente cancerígenas.</w:t>
      </w:r>
    </w:p>
    <w:p w:rsidR="002E1972" w:rsidRPr="002E1972" w:rsidRDefault="002E1972" w:rsidP="002E1972">
      <w:pPr>
        <w:widowControl w:val="0"/>
        <w:numPr>
          <w:ilvl w:val="0"/>
          <w:numId w:val="11"/>
        </w:numPr>
        <w:kinsoku w:val="0"/>
        <w:overflowPunct w:val="0"/>
        <w:spacing w:before="120" w:line="230" w:lineRule="exact"/>
        <w:ind w:left="646" w:right="567"/>
        <w:jc w:val="both"/>
        <w:textAlignment w:val="baseline"/>
        <w:rPr>
          <w:rFonts w:ascii="Arial Narrow" w:hAnsi="Arial Narrow" w:cs="Arial"/>
          <w:i/>
          <w:iCs/>
          <w:spacing w:val="5"/>
          <w:sz w:val="20"/>
          <w:szCs w:val="20"/>
        </w:rPr>
      </w:pPr>
      <w:r w:rsidRPr="002E1972">
        <w:rPr>
          <w:rFonts w:ascii="Arial Narrow" w:hAnsi="Arial Narrow" w:cs="Arial"/>
          <w:i/>
          <w:iCs/>
          <w:spacing w:val="5"/>
          <w:sz w:val="20"/>
          <w:szCs w:val="20"/>
        </w:rPr>
        <w:t>En la Unidad Administrativa Especial de Aeronáutica Civil o la entidad que haga sus veces, la actividad de los técnicos aeronáuticos con funciones de controladores de tránsito aéreo, con licencia expedida o reconocida por la Oficina de Registro de la Unidad Administrativa Especial de Aeronáutica Civil, de conformidad con las normas vigentes.</w:t>
      </w:r>
    </w:p>
    <w:p w:rsidR="002E1972" w:rsidRPr="002E1972" w:rsidRDefault="002E1972" w:rsidP="002E1972">
      <w:pPr>
        <w:widowControl w:val="0"/>
        <w:numPr>
          <w:ilvl w:val="0"/>
          <w:numId w:val="11"/>
        </w:numPr>
        <w:kinsoku w:val="0"/>
        <w:overflowPunct w:val="0"/>
        <w:spacing w:before="120" w:line="235" w:lineRule="exact"/>
        <w:ind w:left="646" w:right="567"/>
        <w:jc w:val="both"/>
        <w:textAlignment w:val="baseline"/>
        <w:rPr>
          <w:rFonts w:ascii="Arial Narrow" w:hAnsi="Arial Narrow" w:cs="Arial"/>
          <w:i/>
          <w:iCs/>
          <w:sz w:val="20"/>
          <w:szCs w:val="20"/>
        </w:rPr>
      </w:pPr>
      <w:r w:rsidRPr="002E1972">
        <w:rPr>
          <w:rFonts w:ascii="Arial Narrow" w:hAnsi="Arial Narrow" w:cs="Arial"/>
          <w:i/>
          <w:iCs/>
          <w:sz w:val="20"/>
          <w:szCs w:val="20"/>
        </w:rPr>
        <w:lastRenderedPageBreak/>
        <w:t>En los Cuerpos de Bomberos, la actividad relacionada con la función específica de actuar en operaciones de extinción de incendios.</w:t>
      </w:r>
    </w:p>
    <w:p w:rsidR="002E1972" w:rsidRPr="002E1972" w:rsidRDefault="002E1972" w:rsidP="002E1972">
      <w:pPr>
        <w:widowControl w:val="0"/>
        <w:numPr>
          <w:ilvl w:val="0"/>
          <w:numId w:val="11"/>
        </w:numPr>
        <w:kinsoku w:val="0"/>
        <w:overflowPunct w:val="0"/>
        <w:spacing w:before="120" w:line="229" w:lineRule="exact"/>
        <w:ind w:left="646" w:right="567"/>
        <w:jc w:val="both"/>
        <w:textAlignment w:val="baseline"/>
        <w:rPr>
          <w:rFonts w:ascii="Arial Narrow" w:hAnsi="Arial Narrow" w:cs="Arial"/>
          <w:i/>
          <w:iCs/>
          <w:spacing w:val="4"/>
          <w:sz w:val="20"/>
          <w:szCs w:val="20"/>
        </w:rPr>
      </w:pPr>
      <w:r w:rsidRPr="002E1972">
        <w:rPr>
          <w:rFonts w:ascii="Arial Narrow" w:hAnsi="Arial Narrow" w:cs="Arial"/>
          <w:i/>
          <w:iCs/>
          <w:spacing w:val="4"/>
          <w:sz w:val="20"/>
          <w:szCs w:val="20"/>
        </w:rPr>
        <w:t xml:space="preserve">En el Instituto Nacional Penitenciario y Carcelario, </w:t>
      </w:r>
      <w:proofErr w:type="spellStart"/>
      <w:r w:rsidRPr="002E1972">
        <w:rPr>
          <w:rFonts w:ascii="Arial Narrow" w:hAnsi="Arial Narrow" w:cs="Arial"/>
          <w:i/>
          <w:iCs/>
          <w:spacing w:val="4"/>
          <w:sz w:val="20"/>
          <w:szCs w:val="20"/>
        </w:rPr>
        <w:t>Inpec</w:t>
      </w:r>
      <w:proofErr w:type="spellEnd"/>
      <w:r w:rsidRPr="002E1972">
        <w:rPr>
          <w:rFonts w:ascii="Arial Narrow" w:hAnsi="Arial Narrow" w:cs="Arial"/>
          <w:i/>
          <w:iCs/>
          <w:spacing w:val="4"/>
          <w:sz w:val="20"/>
          <w:szCs w:val="20"/>
        </w:rPr>
        <w:t>, la actividad del personal dedicado a la custodia y vigilancia de los internos en los centros de reclusión carcelaria, durante el tiempo en el que ejecuten dicha labor. Así mismo, el personal que labore en las actividades antes señaladas en otros establecimientos carcelarios, con excepción de aquellos administrados por la fuerza pública." (resaltado fuera de texto)</w:t>
      </w:r>
    </w:p>
    <w:p w:rsidR="002E1972" w:rsidRPr="002E1972" w:rsidRDefault="002E1972" w:rsidP="002E1972">
      <w:pPr>
        <w:pStyle w:val="Prrafodelista"/>
        <w:kinsoku w:val="0"/>
        <w:overflowPunct w:val="0"/>
        <w:spacing w:before="120" w:line="260" w:lineRule="exact"/>
        <w:ind w:left="0"/>
        <w:jc w:val="both"/>
        <w:textAlignment w:val="baseline"/>
        <w:rPr>
          <w:rFonts w:ascii="Arial Narrow" w:hAnsi="Arial Narrow" w:cs="Arial"/>
          <w:spacing w:val="16"/>
          <w:sz w:val="22"/>
          <w:szCs w:val="22"/>
        </w:rPr>
      </w:pPr>
      <w:r w:rsidRPr="002E1972">
        <w:rPr>
          <w:rFonts w:ascii="Arial Narrow" w:hAnsi="Arial Narrow" w:cs="Arial"/>
          <w:sz w:val="22"/>
          <w:szCs w:val="22"/>
        </w:rPr>
        <w:t xml:space="preserve">Tal como se observa, </w:t>
      </w:r>
      <w:r w:rsidRPr="002E1972">
        <w:rPr>
          <w:rFonts w:ascii="Arial Narrow" w:hAnsi="Arial Narrow" w:cs="Arial"/>
          <w:b/>
          <w:bCs/>
          <w:sz w:val="22"/>
          <w:szCs w:val="22"/>
        </w:rPr>
        <w:t xml:space="preserve">solamente </w:t>
      </w:r>
      <w:r w:rsidRPr="002E1972">
        <w:rPr>
          <w:rFonts w:ascii="Arial Narrow" w:hAnsi="Arial Narrow" w:cs="Arial"/>
          <w:sz w:val="22"/>
          <w:szCs w:val="22"/>
        </w:rPr>
        <w:t>las personas que se dedican a labores que la disposición señala de manera expresa, son considerados trabajadores de actividades de alto riesgo para la salud.</w:t>
      </w:r>
    </w:p>
    <w:p w:rsidR="002E1972" w:rsidRDefault="002E1972" w:rsidP="002E1972">
      <w:pPr>
        <w:pStyle w:val="Prrafodelista"/>
        <w:kinsoku w:val="0"/>
        <w:overflowPunct w:val="0"/>
        <w:spacing w:before="120" w:line="260" w:lineRule="exact"/>
        <w:ind w:left="0"/>
        <w:jc w:val="both"/>
        <w:textAlignment w:val="baseline"/>
        <w:rPr>
          <w:rFonts w:ascii="Arial Narrow" w:hAnsi="Arial Narrow" w:cs="Arial"/>
          <w:spacing w:val="16"/>
          <w:sz w:val="22"/>
          <w:szCs w:val="22"/>
        </w:rPr>
      </w:pPr>
      <w:r w:rsidRPr="002E1972">
        <w:rPr>
          <w:rFonts w:ascii="Arial Narrow" w:hAnsi="Arial Narrow" w:cs="Arial"/>
          <w:sz w:val="22"/>
          <w:szCs w:val="22"/>
        </w:rPr>
        <w:t xml:space="preserve">Así las cosas, se reglamentó una pensión especial de vejez propia del Régimen de Prima Media con Prestación Definida que administraba el Seguro Social (hoy COLPENSIONES), para quienes comprueben haber laborado en alguna de las actividades consideradas como de alto riesgo para la salud del trabajador, de acuerdo con la normativa, siempre que se hayan efectuado las cotizaciones especiales, esto es, </w:t>
      </w:r>
      <w:r w:rsidRPr="002E1972">
        <w:rPr>
          <w:rFonts w:ascii="Arial Narrow" w:hAnsi="Arial Narrow" w:cs="Arial"/>
          <w:sz w:val="22"/>
          <w:szCs w:val="22"/>
          <w:u w:val="single"/>
        </w:rPr>
        <w:t>la general, más 6 puntos adicionales en vigencia del Decreto 1281 de 1994 y de 10 puntos adicionales de acuerdo con la nueva disposición, y a carpo del empleador,</w:t>
      </w:r>
      <w:r w:rsidRPr="002E1972">
        <w:rPr>
          <w:rFonts w:ascii="Arial Narrow" w:hAnsi="Arial Narrow" w:cs="Arial"/>
          <w:sz w:val="22"/>
          <w:szCs w:val="22"/>
        </w:rPr>
        <w:t xml:space="preserve"> en los términos del artículo 5° del Decreto 2090 de 2003, que establece</w:t>
      </w:r>
      <w:r w:rsidRPr="002E1972">
        <w:rPr>
          <w:rFonts w:ascii="Arial Narrow" w:hAnsi="Arial Narrow" w:cs="Arial"/>
          <w:spacing w:val="16"/>
          <w:sz w:val="22"/>
          <w:szCs w:val="22"/>
        </w:rPr>
        <w:t>:</w:t>
      </w:r>
    </w:p>
    <w:p w:rsidR="002E1972" w:rsidRDefault="002E1972" w:rsidP="002E1972">
      <w:pPr>
        <w:kinsoku w:val="0"/>
        <w:overflowPunct w:val="0"/>
        <w:spacing w:before="213" w:line="240" w:lineRule="exact"/>
        <w:ind w:left="648" w:right="576"/>
        <w:jc w:val="both"/>
        <w:textAlignment w:val="baseline"/>
        <w:rPr>
          <w:rFonts w:ascii="Arial Narrow" w:hAnsi="Arial Narrow" w:cs="Arial"/>
          <w:i/>
          <w:iCs/>
          <w:sz w:val="20"/>
          <w:szCs w:val="20"/>
        </w:rPr>
      </w:pPr>
      <w:r w:rsidRPr="002E1972">
        <w:rPr>
          <w:rFonts w:ascii="Arial Narrow" w:hAnsi="Arial Narrow" w:cs="Arial"/>
          <w:b/>
          <w:bCs/>
          <w:i/>
          <w:iCs/>
          <w:sz w:val="20"/>
          <w:szCs w:val="20"/>
        </w:rPr>
        <w:t xml:space="preserve">"MONTO DE LA COTIZACIÓN ESPECIAL. </w:t>
      </w:r>
      <w:r w:rsidRPr="002E1972">
        <w:rPr>
          <w:rFonts w:ascii="Arial Narrow" w:hAnsi="Arial Narrow" w:cs="Arial"/>
          <w:i/>
          <w:iCs/>
          <w:sz w:val="20"/>
          <w:szCs w:val="20"/>
        </w:rPr>
        <w:t>El monto de la cotización especial para las actividades de alto riesgo es el previsto en la Ley 100 de 1993, más diez (10) punto adicionales a cargo del empleador"</w:t>
      </w:r>
    </w:p>
    <w:p w:rsidR="002E1972" w:rsidRPr="002E1972" w:rsidRDefault="002E1972" w:rsidP="002E1972">
      <w:pPr>
        <w:kinsoku w:val="0"/>
        <w:overflowPunct w:val="0"/>
        <w:spacing w:before="120" w:line="257" w:lineRule="exact"/>
        <w:jc w:val="both"/>
        <w:textAlignment w:val="baseline"/>
        <w:rPr>
          <w:rFonts w:ascii="Arial Narrow" w:hAnsi="Arial Narrow" w:cs="Arial"/>
          <w:sz w:val="22"/>
          <w:szCs w:val="22"/>
        </w:rPr>
      </w:pPr>
      <w:r w:rsidRPr="002E1972">
        <w:rPr>
          <w:rFonts w:ascii="Arial Narrow" w:hAnsi="Arial Narrow" w:cs="Arial"/>
          <w:sz w:val="22"/>
          <w:szCs w:val="22"/>
        </w:rPr>
        <w:t>Por su parte, el artículo 4° del citado decreto establece que para tener derecho a la pensión especial de vejez, se requiere:</w:t>
      </w:r>
    </w:p>
    <w:p w:rsidR="002E1972" w:rsidRPr="002E1972" w:rsidRDefault="002E1972" w:rsidP="002E1972">
      <w:pPr>
        <w:kinsoku w:val="0"/>
        <w:overflowPunct w:val="0"/>
        <w:spacing w:before="120" w:line="226" w:lineRule="exact"/>
        <w:ind w:right="567" w:firstLine="708"/>
        <w:textAlignment w:val="baseline"/>
        <w:rPr>
          <w:rFonts w:ascii="Arial Narrow" w:hAnsi="Arial Narrow" w:cs="Arial"/>
          <w:i/>
          <w:iCs/>
          <w:spacing w:val="4"/>
          <w:sz w:val="20"/>
          <w:szCs w:val="20"/>
        </w:rPr>
      </w:pPr>
      <w:r w:rsidRPr="002E1972">
        <w:rPr>
          <w:rFonts w:ascii="Arial Narrow" w:hAnsi="Arial Narrow" w:cs="Arial"/>
          <w:i/>
          <w:iCs/>
          <w:spacing w:val="4"/>
          <w:sz w:val="20"/>
          <w:szCs w:val="20"/>
        </w:rPr>
        <w:t>Haber cumplido 55 años de edad.</w:t>
      </w:r>
    </w:p>
    <w:p w:rsidR="002E1972" w:rsidRPr="002E1972" w:rsidRDefault="002E1972" w:rsidP="002E1972">
      <w:pPr>
        <w:kinsoku w:val="0"/>
        <w:overflowPunct w:val="0"/>
        <w:spacing w:before="120" w:line="226" w:lineRule="exact"/>
        <w:ind w:left="794" w:right="567"/>
        <w:jc w:val="both"/>
        <w:textAlignment w:val="baseline"/>
        <w:rPr>
          <w:rFonts w:ascii="Arial Narrow" w:hAnsi="Arial Narrow" w:cs="Arial"/>
          <w:i/>
          <w:iCs/>
          <w:sz w:val="20"/>
          <w:szCs w:val="20"/>
        </w:rPr>
      </w:pPr>
      <w:r w:rsidRPr="002E1972">
        <w:rPr>
          <w:rFonts w:ascii="Arial Narrow" w:hAnsi="Arial Narrow" w:cs="Arial"/>
          <w:sz w:val="20"/>
          <w:szCs w:val="20"/>
        </w:rPr>
        <w:t xml:space="preserve">2. Haber </w:t>
      </w:r>
      <w:r w:rsidRPr="002E1972">
        <w:rPr>
          <w:rFonts w:ascii="Arial Narrow" w:hAnsi="Arial Narrow" w:cs="Arial"/>
          <w:i/>
          <w:iCs/>
          <w:sz w:val="20"/>
          <w:szCs w:val="20"/>
        </w:rPr>
        <w:t>cotizado el número mínimo de semanas establecido para el Sistema General de Seguridad Social en Pensiones, al que se refiere el artículo 36 de la Ley 100 de 1993, modificado por el artículo 9° de la Ley 797 de 2003.</w:t>
      </w:r>
    </w:p>
    <w:p w:rsidR="002E1972" w:rsidRDefault="002E1972" w:rsidP="002E1972">
      <w:pPr>
        <w:kinsoku w:val="0"/>
        <w:overflowPunct w:val="0"/>
        <w:spacing w:before="120" w:line="237" w:lineRule="exact"/>
        <w:ind w:left="794" w:right="567"/>
        <w:jc w:val="both"/>
        <w:textAlignment w:val="baseline"/>
        <w:rPr>
          <w:rFonts w:ascii="Arial Narrow" w:hAnsi="Arial Narrow" w:cs="Arial"/>
          <w:i/>
          <w:iCs/>
          <w:sz w:val="20"/>
          <w:szCs w:val="20"/>
        </w:rPr>
      </w:pPr>
      <w:r w:rsidRPr="002E1972">
        <w:rPr>
          <w:rFonts w:ascii="Arial Narrow" w:hAnsi="Arial Narrow" w:cs="Arial"/>
          <w:i/>
          <w:iCs/>
          <w:sz w:val="20"/>
          <w:szCs w:val="20"/>
        </w:rPr>
        <w:t>La edad para el reconocimiento especial de vejez se disminuirá en un (1) año por cada (60) semanas de cotización especial, adicionales a las mínimas requeridas en el Sistema General de Pensiones, sin que dicha edad pueda ser inferior a cincuenta (50) años".</w:t>
      </w:r>
    </w:p>
    <w:p w:rsidR="002E1972" w:rsidRPr="002E1972" w:rsidRDefault="002E1972" w:rsidP="002E1972">
      <w:pPr>
        <w:kinsoku w:val="0"/>
        <w:overflowPunct w:val="0"/>
        <w:spacing w:before="247" w:line="258" w:lineRule="exact"/>
        <w:jc w:val="both"/>
        <w:textAlignment w:val="baseline"/>
        <w:rPr>
          <w:rFonts w:ascii="Arial Narrow" w:hAnsi="Arial Narrow" w:cs="Arial"/>
          <w:sz w:val="22"/>
          <w:szCs w:val="22"/>
        </w:rPr>
      </w:pPr>
      <w:r w:rsidRPr="002E1972">
        <w:rPr>
          <w:rFonts w:ascii="Arial Narrow" w:hAnsi="Arial Narrow" w:cs="Arial"/>
          <w:sz w:val="22"/>
          <w:szCs w:val="22"/>
        </w:rPr>
        <w:t>En este orden de ideas, para que un afiliado pueda tener derecho a la pensión especial de vejez debe haber cotizado el número mínimo de semanas establecidas en el Sistema General de Pensiones, que en la actualidad contempla 1.275 semanas de cotización, de las cuales por lo menos 700 semanas (14 años), debieron efectuarse con la cotización especial, sean estas continuas o discontinuas.</w:t>
      </w:r>
    </w:p>
    <w:p w:rsidR="002E1972" w:rsidRDefault="002E1972" w:rsidP="002E1972">
      <w:pPr>
        <w:kinsoku w:val="0"/>
        <w:overflowPunct w:val="0"/>
        <w:spacing w:before="241" w:line="258" w:lineRule="exact"/>
        <w:jc w:val="both"/>
        <w:textAlignment w:val="baseline"/>
        <w:rPr>
          <w:rFonts w:ascii="Arial Narrow" w:hAnsi="Arial Narrow" w:cs="Arial"/>
          <w:sz w:val="22"/>
          <w:szCs w:val="22"/>
        </w:rPr>
      </w:pPr>
      <w:r w:rsidRPr="002E1972">
        <w:rPr>
          <w:rFonts w:ascii="Arial Narrow" w:hAnsi="Arial Narrow" w:cs="Arial"/>
          <w:sz w:val="22"/>
          <w:szCs w:val="22"/>
        </w:rPr>
        <w:t xml:space="preserve">En conclusión, la pensión especial de vejez será procedente siempre y cuando se hayan efectuado las cotizaciones especiales </w:t>
      </w:r>
      <w:r w:rsidRPr="002E1972">
        <w:rPr>
          <w:rFonts w:ascii="Arial Narrow" w:hAnsi="Arial Narrow" w:cs="Arial"/>
          <w:b/>
          <w:bCs/>
          <w:sz w:val="22"/>
          <w:szCs w:val="22"/>
        </w:rPr>
        <w:t xml:space="preserve">por parte del empleador; </w:t>
      </w:r>
      <w:r w:rsidRPr="002E1972">
        <w:rPr>
          <w:rFonts w:ascii="Arial Narrow" w:hAnsi="Arial Narrow" w:cs="Arial"/>
          <w:sz w:val="22"/>
          <w:szCs w:val="22"/>
        </w:rPr>
        <w:t>de lo contrario, el reconocimiento de la pensión se hará en los términos del artículo 9° de la Ley 797 de 2003, que modificó el artículo 33 de la Ley 100 de 1993, que establece:</w:t>
      </w:r>
    </w:p>
    <w:p w:rsidR="00030BEA" w:rsidRPr="00030BEA" w:rsidRDefault="00030BEA" w:rsidP="00030BEA">
      <w:pPr>
        <w:kinsoku w:val="0"/>
        <w:overflowPunct w:val="0"/>
        <w:spacing w:before="262" w:line="225" w:lineRule="exact"/>
        <w:ind w:left="576"/>
        <w:textAlignment w:val="baseline"/>
        <w:rPr>
          <w:rFonts w:ascii="Arial Narrow" w:hAnsi="Arial Narrow" w:cs="Arial"/>
          <w:i/>
          <w:iCs/>
          <w:spacing w:val="5"/>
          <w:sz w:val="20"/>
          <w:szCs w:val="20"/>
        </w:rPr>
      </w:pPr>
      <w:r w:rsidRPr="00030BEA">
        <w:rPr>
          <w:rFonts w:ascii="Arial Narrow" w:hAnsi="Arial Narrow" w:cs="Arial"/>
          <w:i/>
          <w:iCs/>
          <w:spacing w:val="5"/>
          <w:sz w:val="20"/>
          <w:szCs w:val="20"/>
        </w:rPr>
        <w:t>ARTICULO 9o. El artículo 33 de la Ley 100 de 1993 quedará así:</w:t>
      </w:r>
    </w:p>
    <w:p w:rsidR="00030BEA" w:rsidRPr="00030BEA" w:rsidRDefault="00030BEA" w:rsidP="00030BEA">
      <w:pPr>
        <w:kinsoku w:val="0"/>
        <w:overflowPunct w:val="0"/>
        <w:spacing w:before="223" w:line="232" w:lineRule="exact"/>
        <w:ind w:left="576" w:right="576"/>
        <w:jc w:val="both"/>
        <w:textAlignment w:val="baseline"/>
        <w:rPr>
          <w:rFonts w:ascii="Arial Narrow" w:hAnsi="Arial Narrow" w:cs="Arial"/>
          <w:i/>
          <w:iCs/>
          <w:sz w:val="20"/>
          <w:szCs w:val="20"/>
        </w:rPr>
      </w:pPr>
      <w:r w:rsidRPr="00030BEA">
        <w:rPr>
          <w:rFonts w:ascii="Arial Narrow" w:hAnsi="Arial Narrow" w:cs="Arial"/>
          <w:i/>
          <w:iCs/>
          <w:sz w:val="20"/>
          <w:szCs w:val="20"/>
        </w:rPr>
        <w:t>Artículo 33. Requisitos para obtenerla Pensión de Vejez. Para tener el derecho a la Pensión de Vejez, el afiliado deberá reunir las siguientes condiciones:</w:t>
      </w:r>
    </w:p>
    <w:p w:rsidR="00030BEA" w:rsidRPr="00030BEA" w:rsidRDefault="00030BEA" w:rsidP="00030BEA">
      <w:pPr>
        <w:widowControl w:val="0"/>
        <w:numPr>
          <w:ilvl w:val="0"/>
          <w:numId w:val="13"/>
        </w:numPr>
        <w:kinsoku w:val="0"/>
        <w:overflowPunct w:val="0"/>
        <w:spacing w:before="218" w:line="245" w:lineRule="exact"/>
        <w:ind w:right="576"/>
        <w:jc w:val="both"/>
        <w:textAlignment w:val="baseline"/>
        <w:rPr>
          <w:rFonts w:ascii="Arial Narrow" w:hAnsi="Arial Narrow" w:cs="Arial"/>
          <w:i/>
          <w:iCs/>
          <w:sz w:val="20"/>
          <w:szCs w:val="20"/>
        </w:rPr>
      </w:pPr>
      <w:r w:rsidRPr="00030BEA">
        <w:rPr>
          <w:rFonts w:ascii="Arial Narrow" w:hAnsi="Arial Narrow" w:cs="Arial"/>
          <w:i/>
          <w:iCs/>
          <w:sz w:val="20"/>
          <w:szCs w:val="20"/>
        </w:rPr>
        <w:t>Haber cumplido cincuenta y cinco (55) años de edad si es mujer o sesenta (60) años si es hombre.</w:t>
      </w:r>
    </w:p>
    <w:p w:rsidR="00030BEA" w:rsidRPr="00030BEA" w:rsidRDefault="00030BEA" w:rsidP="00030BEA">
      <w:pPr>
        <w:kinsoku w:val="0"/>
        <w:overflowPunct w:val="0"/>
        <w:spacing w:before="120" w:line="234" w:lineRule="exact"/>
        <w:ind w:left="578" w:right="567"/>
        <w:jc w:val="both"/>
        <w:textAlignment w:val="baseline"/>
        <w:rPr>
          <w:rFonts w:ascii="Arial Narrow" w:hAnsi="Arial Narrow" w:cs="Arial"/>
          <w:i/>
          <w:iCs/>
          <w:sz w:val="20"/>
          <w:szCs w:val="20"/>
        </w:rPr>
      </w:pPr>
      <w:r w:rsidRPr="00030BEA">
        <w:rPr>
          <w:rFonts w:ascii="Arial Narrow" w:hAnsi="Arial Narrow" w:cs="Arial"/>
          <w:i/>
          <w:iCs/>
          <w:sz w:val="20"/>
          <w:szCs w:val="20"/>
        </w:rPr>
        <w:t>A partir de 1º .de enero del año 2014 (a edad se incrementará a cincuenta y siete (57) años de edad para la mujer, y sesenta y dos (62) años para el hombre.</w:t>
      </w:r>
    </w:p>
    <w:p w:rsidR="00030BEA" w:rsidRPr="00030BEA" w:rsidRDefault="00030BEA" w:rsidP="00030BEA">
      <w:pPr>
        <w:widowControl w:val="0"/>
        <w:numPr>
          <w:ilvl w:val="0"/>
          <w:numId w:val="13"/>
        </w:numPr>
        <w:kinsoku w:val="0"/>
        <w:overflowPunct w:val="0"/>
        <w:spacing w:before="120" w:line="223" w:lineRule="exact"/>
        <w:ind w:left="578" w:right="567"/>
        <w:textAlignment w:val="baseline"/>
        <w:rPr>
          <w:rFonts w:ascii="Arial Narrow" w:hAnsi="Arial Narrow" w:cs="Arial"/>
          <w:i/>
          <w:iCs/>
          <w:sz w:val="20"/>
          <w:szCs w:val="20"/>
        </w:rPr>
      </w:pPr>
      <w:r w:rsidRPr="00030BEA">
        <w:rPr>
          <w:rFonts w:ascii="Arial Narrow" w:hAnsi="Arial Narrow" w:cs="Arial"/>
          <w:i/>
          <w:iCs/>
          <w:sz w:val="20"/>
          <w:szCs w:val="20"/>
        </w:rPr>
        <w:lastRenderedPageBreak/>
        <w:t>Haber cotizado un mínimo de mil (1000) semanas en cualquier tiempo.</w:t>
      </w:r>
    </w:p>
    <w:p w:rsidR="00030BEA" w:rsidRDefault="00030BEA" w:rsidP="00030BEA">
      <w:pPr>
        <w:kinsoku w:val="0"/>
        <w:overflowPunct w:val="0"/>
        <w:spacing w:before="120" w:line="230" w:lineRule="exact"/>
        <w:ind w:left="578" w:right="567"/>
        <w:jc w:val="both"/>
        <w:textAlignment w:val="baseline"/>
        <w:rPr>
          <w:rFonts w:ascii="Arial Narrow" w:hAnsi="Arial Narrow" w:cs="Arial"/>
          <w:i/>
          <w:iCs/>
          <w:sz w:val="20"/>
          <w:szCs w:val="20"/>
        </w:rPr>
      </w:pPr>
      <w:r w:rsidRPr="00030BEA">
        <w:rPr>
          <w:rFonts w:ascii="Arial Narrow" w:hAnsi="Arial Narrow" w:cs="Arial"/>
          <w:i/>
          <w:iCs/>
          <w:sz w:val="20"/>
          <w:szCs w:val="20"/>
        </w:rPr>
        <w:t xml:space="preserve">A partir del 1º. De enero del año 2005 el número de semanas se incrementará </w:t>
      </w:r>
      <w:r w:rsidRPr="00030BEA">
        <w:rPr>
          <w:rFonts w:ascii="Arial Narrow" w:hAnsi="Arial Narrow" w:cs="Arial"/>
          <w:i/>
          <w:sz w:val="20"/>
          <w:szCs w:val="20"/>
        </w:rPr>
        <w:t xml:space="preserve">en 50 y </w:t>
      </w:r>
      <w:r w:rsidRPr="00030BEA">
        <w:rPr>
          <w:rFonts w:ascii="Arial Narrow" w:hAnsi="Arial Narrow" w:cs="Arial"/>
          <w:i/>
          <w:iCs/>
          <w:sz w:val="20"/>
          <w:szCs w:val="20"/>
        </w:rPr>
        <w:t xml:space="preserve">a partir del 1º. De enero de 2006 se incrementará en 25 cada año hasta llegar a 1.300 semanas </w:t>
      </w:r>
      <w:r w:rsidRPr="00030BEA">
        <w:rPr>
          <w:rFonts w:ascii="Arial Narrow" w:hAnsi="Arial Narrow" w:cs="Arial"/>
          <w:i/>
          <w:sz w:val="20"/>
          <w:szCs w:val="20"/>
        </w:rPr>
        <w:t xml:space="preserve">en el </w:t>
      </w:r>
      <w:r w:rsidRPr="00030BEA">
        <w:rPr>
          <w:rFonts w:ascii="Arial Narrow" w:hAnsi="Arial Narrow" w:cs="Arial"/>
          <w:i/>
          <w:iCs/>
          <w:sz w:val="20"/>
          <w:szCs w:val="20"/>
        </w:rPr>
        <w:t>año 2015."</w:t>
      </w:r>
    </w:p>
    <w:p w:rsidR="00030BEA" w:rsidRPr="00030BEA" w:rsidRDefault="00030BEA" w:rsidP="00030BEA">
      <w:pPr>
        <w:kinsoku w:val="0"/>
        <w:overflowPunct w:val="0"/>
        <w:spacing w:before="120" w:after="241" w:line="258" w:lineRule="exact"/>
        <w:jc w:val="both"/>
        <w:textAlignment w:val="baseline"/>
        <w:rPr>
          <w:rFonts w:ascii="Arial Narrow" w:hAnsi="Arial Narrow" w:cs="Arial"/>
          <w:sz w:val="22"/>
          <w:szCs w:val="22"/>
        </w:rPr>
      </w:pPr>
      <w:r w:rsidRPr="00030BEA">
        <w:rPr>
          <w:rFonts w:ascii="Arial Narrow" w:hAnsi="Arial Narrow" w:cs="Arial"/>
          <w:sz w:val="22"/>
          <w:szCs w:val="22"/>
        </w:rPr>
        <w:t xml:space="preserve">Por otra parte, es obligación del empleador, determinar los factores de riesgo de los puestos de trabajo, establecer las medidas preventivas del caso, informarle a los trabajadores sobre los riesgos a los que está expuesto y la forma de prevenirlos o controlarlos, </w:t>
      </w:r>
      <w:r w:rsidRPr="00030BEA">
        <w:rPr>
          <w:rFonts w:ascii="Arial Narrow" w:hAnsi="Arial Narrow" w:cs="Arial"/>
          <w:sz w:val="22"/>
          <w:szCs w:val="22"/>
          <w:u w:val="single"/>
        </w:rPr>
        <w:t xml:space="preserve">definir si la actividad  que realizan está catalogada o no como de alto </w:t>
      </w:r>
      <w:proofErr w:type="spellStart"/>
      <w:r w:rsidRPr="00030BEA">
        <w:rPr>
          <w:rFonts w:ascii="Arial Narrow" w:hAnsi="Arial Narrow" w:cs="Arial"/>
          <w:sz w:val="22"/>
          <w:szCs w:val="22"/>
          <w:u w:val="single"/>
        </w:rPr>
        <w:t>riesqo</w:t>
      </w:r>
      <w:proofErr w:type="spellEnd"/>
      <w:r w:rsidRPr="00030BEA">
        <w:rPr>
          <w:rFonts w:ascii="Arial Narrow" w:hAnsi="Arial Narrow" w:cs="Arial"/>
          <w:sz w:val="22"/>
          <w:szCs w:val="22"/>
          <w:u w:val="single"/>
        </w:rPr>
        <w:t xml:space="preserve"> para la salud</w:t>
      </w:r>
      <w:r w:rsidRPr="00030BEA">
        <w:rPr>
          <w:rFonts w:ascii="Arial Narrow" w:hAnsi="Arial Narrow" w:cs="Arial"/>
          <w:sz w:val="22"/>
          <w:szCs w:val="22"/>
        </w:rPr>
        <w:t xml:space="preserve"> y conforme a ello realizar los aportes a la Seguridad Social en los términos señalados.</w:t>
      </w:r>
    </w:p>
    <w:p w:rsidR="00030BEA" w:rsidRPr="00030BEA" w:rsidRDefault="00030BEA" w:rsidP="00030BEA">
      <w:pPr>
        <w:kinsoku w:val="0"/>
        <w:overflowPunct w:val="0"/>
        <w:spacing w:before="120" w:line="254" w:lineRule="exact"/>
        <w:jc w:val="both"/>
        <w:textAlignment w:val="baseline"/>
        <w:rPr>
          <w:rFonts w:ascii="Arial Narrow" w:hAnsi="Arial Narrow" w:cs="Arial"/>
          <w:sz w:val="22"/>
          <w:szCs w:val="22"/>
        </w:rPr>
      </w:pPr>
      <w:r w:rsidRPr="00030BEA">
        <w:rPr>
          <w:rFonts w:ascii="Arial Narrow" w:hAnsi="Arial Narrow" w:cs="Arial"/>
          <w:sz w:val="22"/>
          <w:szCs w:val="22"/>
        </w:rPr>
        <w:t>Finalmente, aunque la normativa no prevé sanciones por la omisión en el pago de las cotizaciones especiales por parte del empleador, es procedente acudir a la Administradora Colombiana de Pensiones - COLPENSIONES y consultar acerca de la viabilidad del pago extemporáneo de las mismas, ya que dentro de las funciones asignadas a este Ministerio mediante el Decreto 4108 de 2011 no se encuentra la de rea</w:t>
      </w:r>
      <w:r>
        <w:rPr>
          <w:rFonts w:ascii="Arial Narrow" w:hAnsi="Arial Narrow" w:cs="Arial"/>
          <w:sz w:val="22"/>
          <w:szCs w:val="22"/>
        </w:rPr>
        <w:t>lizar trámites en materia de af</w:t>
      </w:r>
      <w:r w:rsidRPr="00030BEA">
        <w:rPr>
          <w:rFonts w:ascii="Arial Narrow" w:hAnsi="Arial Narrow" w:cs="Arial"/>
          <w:sz w:val="22"/>
          <w:szCs w:val="22"/>
        </w:rPr>
        <w:t>i</w:t>
      </w:r>
      <w:r>
        <w:rPr>
          <w:rFonts w:ascii="Arial Narrow" w:hAnsi="Arial Narrow" w:cs="Arial"/>
          <w:sz w:val="22"/>
          <w:szCs w:val="22"/>
        </w:rPr>
        <w:t>li</w:t>
      </w:r>
      <w:r w:rsidRPr="00030BEA">
        <w:rPr>
          <w:rFonts w:ascii="Arial Narrow" w:hAnsi="Arial Narrow" w:cs="Arial"/>
          <w:sz w:val="22"/>
          <w:szCs w:val="22"/>
        </w:rPr>
        <w:t>aciones y recaudos de aportes al Sistema Pensiones.</w:t>
      </w:r>
    </w:p>
    <w:p w:rsidR="00030BEA" w:rsidRPr="00030BEA" w:rsidRDefault="00030BEA" w:rsidP="00030BEA">
      <w:pPr>
        <w:kinsoku w:val="0"/>
        <w:overflowPunct w:val="0"/>
        <w:spacing w:before="120" w:line="230" w:lineRule="exact"/>
        <w:jc w:val="both"/>
        <w:textAlignment w:val="baseline"/>
        <w:rPr>
          <w:rFonts w:ascii="Arial Narrow" w:hAnsi="Arial Narrow" w:cs="Arial"/>
          <w:iCs/>
          <w:sz w:val="22"/>
          <w:szCs w:val="22"/>
        </w:rPr>
      </w:pPr>
      <w:r w:rsidRPr="00030BEA">
        <w:rPr>
          <w:rFonts w:ascii="Arial Narrow" w:hAnsi="Arial Narrow" w:cs="Arial"/>
          <w:iCs/>
          <w:sz w:val="22"/>
          <w:szCs w:val="22"/>
        </w:rPr>
        <w:t>En este sentido damos respuesta a su comunicación, no sin antes advertir que este concepto tiene los alcances determinados en el artículo 28 del Código de Procedimiento Administrativo y de lo Contencioso Administrativo.</w:t>
      </w:r>
    </w:p>
    <w:p w:rsidR="00030BEA" w:rsidRDefault="00030BEA"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AC" w:rsidRDefault="008E06AC">
      <w:r>
        <w:separator/>
      </w:r>
    </w:p>
  </w:endnote>
  <w:endnote w:type="continuationSeparator" w:id="0">
    <w:p w:rsidR="008E06AC" w:rsidRDefault="008E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8E06AC"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53B6">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8E06AC">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8E06AC" w:rsidP="00E10C8A">
                          <w:pPr>
                            <w:pStyle w:val="Piedepgina"/>
                          </w:pPr>
                        </w:p>
                        <w:p w:rsidR="00D779BE" w:rsidRPr="00BF1BA0" w:rsidRDefault="008E06AC">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030BEA">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030BEA" w:rsidP="00E10C8A">
                    <w:pPr>
                      <w:pStyle w:val="Piedepgina"/>
                    </w:pPr>
                  </w:p>
                  <w:p w:rsidR="00D779BE" w:rsidRPr="00BF1BA0" w:rsidRDefault="00030BEA">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8E06AC">
    <w:pPr>
      <w:pStyle w:val="Piedepgina"/>
      <w:rPr>
        <w:rFonts w:ascii="Arial Narrow" w:hAnsi="Arial Narrow"/>
        <w:sz w:val="18"/>
        <w:szCs w:val="18"/>
        <w:lang w:val="es-MX"/>
      </w:rPr>
    </w:pPr>
  </w:p>
  <w:p w:rsidR="00D779BE" w:rsidRDefault="008E06AC">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AC" w:rsidRDefault="008E06AC">
      <w:r>
        <w:separator/>
      </w:r>
    </w:p>
  </w:footnote>
  <w:footnote w:type="continuationSeparator" w:id="0">
    <w:p w:rsidR="008E06AC" w:rsidRDefault="008E0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8E06AC">
          <w:pPr>
            <w:pStyle w:val="Encabezado"/>
            <w:tabs>
              <w:tab w:val="center" w:pos="1134"/>
            </w:tabs>
          </w:pPr>
        </w:p>
      </w:tc>
      <w:tc>
        <w:tcPr>
          <w:tcW w:w="4316" w:type="dxa"/>
          <w:vAlign w:val="center"/>
        </w:tcPr>
        <w:p w:rsidR="00D779BE" w:rsidRDefault="008E06AC">
          <w:pPr>
            <w:pStyle w:val="Encabezado"/>
            <w:rPr>
              <w:rFonts w:ascii="Arial Narrow" w:hAnsi="Arial Narrow"/>
              <w:b/>
            </w:rPr>
          </w:pPr>
        </w:p>
        <w:p w:rsidR="00D779BE" w:rsidRDefault="008E06AC">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8E06AC">
          <w:pPr>
            <w:pStyle w:val="Encabezado"/>
            <w:jc w:val="right"/>
          </w:pPr>
        </w:p>
        <w:p w:rsidR="00D779BE" w:rsidRDefault="008E06AC">
          <w:pPr>
            <w:pStyle w:val="Encabezado"/>
            <w:jc w:val="right"/>
          </w:pPr>
        </w:p>
        <w:p w:rsidR="00D779BE" w:rsidRDefault="004C2EE1" w:rsidP="00BF1BA0">
          <w:pPr>
            <w:pStyle w:val="Encabezado"/>
            <w:jc w:val="center"/>
          </w:pPr>
          <w:r>
            <w:t xml:space="preserve">                          </w:t>
          </w:r>
        </w:p>
      </w:tc>
    </w:tr>
  </w:tbl>
  <w:p w:rsidR="00D779BE" w:rsidRDefault="008E06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2B04610"/>
    <w:multiLevelType w:val="singleLevel"/>
    <w:tmpl w:val="47113AF2"/>
    <w:lvl w:ilvl="0">
      <w:start w:val="1"/>
      <w:numFmt w:val="decimal"/>
      <w:lvlText w:val="%1."/>
      <w:lvlJc w:val="left"/>
      <w:pPr>
        <w:tabs>
          <w:tab w:val="num" w:pos="864"/>
        </w:tabs>
        <w:ind w:left="576"/>
      </w:pPr>
      <w:rPr>
        <w:rFonts w:ascii="Arial" w:hAnsi="Arial" w:cs="Arial"/>
        <w:i/>
        <w:iCs/>
        <w:snapToGrid/>
        <w:sz w:val="19"/>
        <w:szCs w:val="19"/>
      </w:rPr>
    </w:lvl>
  </w:abstractNum>
  <w:abstractNum w:abstractNumId="2">
    <w:nsid w:val="03E003CF"/>
    <w:multiLevelType w:val="singleLevel"/>
    <w:tmpl w:val="181BCBD5"/>
    <w:lvl w:ilvl="0">
      <w:start w:val="1"/>
      <w:numFmt w:val="decimal"/>
      <w:lvlText w:val="%1."/>
      <w:lvlJc w:val="left"/>
      <w:pPr>
        <w:tabs>
          <w:tab w:val="num" w:pos="936"/>
        </w:tabs>
        <w:ind w:left="648"/>
      </w:pPr>
      <w:rPr>
        <w:rFonts w:ascii="Arial" w:hAnsi="Arial" w:cs="Arial"/>
        <w:i/>
        <w:iCs/>
        <w:snapToGrid/>
        <w:spacing w:val="4"/>
        <w:sz w:val="19"/>
        <w:szCs w:val="19"/>
      </w:rPr>
    </w:lvl>
  </w:abstractNum>
  <w:abstractNum w:abstractNumId="3">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4">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5">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7">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5"/>
  </w:num>
  <w:num w:numId="3">
    <w:abstractNumId w:val="8"/>
  </w:num>
  <w:num w:numId="4">
    <w:abstractNumId w:val="7"/>
  </w:num>
  <w:num w:numId="5">
    <w:abstractNumId w:val="10"/>
  </w:num>
  <w:num w:numId="6">
    <w:abstractNumId w:val="9"/>
  </w:num>
  <w:num w:numId="7">
    <w:abstractNumId w:val="6"/>
  </w:num>
  <w:num w:numId="8">
    <w:abstractNumId w:val="3"/>
  </w:num>
  <w:num w:numId="9">
    <w:abstractNumId w:val="4"/>
  </w:num>
  <w:num w:numId="10">
    <w:abstractNumId w:val="4"/>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2"/>
  </w:num>
  <w:num w:numId="12">
    <w:abstractNumId w:val="2"/>
    <w:lvlOverride w:ilvl="0">
      <w:lvl w:ilvl="0">
        <w:numFmt w:val="decimal"/>
        <w:lvlText w:val="%1."/>
        <w:lvlJc w:val="left"/>
        <w:pPr>
          <w:tabs>
            <w:tab w:val="num" w:pos="936"/>
          </w:tabs>
          <w:ind w:left="648"/>
        </w:pPr>
        <w:rPr>
          <w:rFonts w:ascii="Arial" w:hAnsi="Arial" w:cs="Arial"/>
          <w:b/>
          <w:bCs/>
          <w:i/>
          <w:iCs/>
          <w:snapToGrid/>
          <w:spacing w:val="3"/>
          <w:sz w:val="19"/>
          <w:szCs w:val="19"/>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0BEA"/>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2E1972"/>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56E74"/>
    <w:rsid w:val="007B6071"/>
    <w:rsid w:val="007E3AF3"/>
    <w:rsid w:val="008019A0"/>
    <w:rsid w:val="00822E23"/>
    <w:rsid w:val="00844766"/>
    <w:rsid w:val="00846D69"/>
    <w:rsid w:val="008946F6"/>
    <w:rsid w:val="008A7BA0"/>
    <w:rsid w:val="008B0170"/>
    <w:rsid w:val="008D2BBF"/>
    <w:rsid w:val="008D6A64"/>
    <w:rsid w:val="008E06AC"/>
    <w:rsid w:val="008E671C"/>
    <w:rsid w:val="00936C13"/>
    <w:rsid w:val="00954EFE"/>
    <w:rsid w:val="00955DAD"/>
    <w:rsid w:val="00995A45"/>
    <w:rsid w:val="009A0F85"/>
    <w:rsid w:val="009A2ED2"/>
    <w:rsid w:val="009B6ED4"/>
    <w:rsid w:val="009E3583"/>
    <w:rsid w:val="00A0714D"/>
    <w:rsid w:val="00A153B6"/>
    <w:rsid w:val="00A34F7B"/>
    <w:rsid w:val="00A5178D"/>
    <w:rsid w:val="00A5405B"/>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2014-10-16T16:12:00Z</dcterms:created>
  <dcterms:modified xsi:type="dcterms:W3CDTF">2014-10-16T16:12:00Z</dcterms:modified>
</cp:coreProperties>
</file>